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2D701" w14:textId="77777777" w:rsidR="000405A6" w:rsidRDefault="006D4370" w:rsidP="000405A6">
      <w:pPr>
        <w:pStyle w:val="Heading1"/>
        <w:rPr>
          <w:rStyle w:val="Emphasis"/>
        </w:rPr>
      </w:pPr>
      <w:bookmarkStart w:id="0" w:name="_Toc245806805"/>
      <w:r>
        <w:rPr>
          <w:rStyle w:val="Emphasis"/>
        </w:rPr>
        <w:t>Information in AtW Guidance v 20</w:t>
      </w:r>
      <w:r w:rsidR="000405A6">
        <w:rPr>
          <w:rStyle w:val="Emphasis"/>
        </w:rPr>
        <w:t xml:space="preserve"> that may help you</w:t>
      </w:r>
      <w:bookmarkEnd w:id="0"/>
    </w:p>
    <w:p w14:paraId="681D6301" w14:textId="77777777" w:rsidR="00C250D9" w:rsidRDefault="00C250D9" w:rsidP="00C250D9"/>
    <w:p w14:paraId="76413391" w14:textId="5B4B3866" w:rsidR="00C250D9" w:rsidRPr="00715BD1" w:rsidRDefault="00C250D9" w:rsidP="00C250D9">
      <w:pPr>
        <w:rPr>
          <w:rFonts w:ascii="Arial" w:eastAsia="Times New Roman" w:hAnsi="Arial" w:cs="Arial"/>
          <w:b/>
          <w:color w:val="1A1A1A"/>
          <w:lang w:val="en-US" w:eastAsia="en-US"/>
        </w:rPr>
      </w:pPr>
      <w:r w:rsidRPr="00715BD1">
        <w:rPr>
          <w:rFonts w:ascii="Arial" w:eastAsia="Times New Roman" w:hAnsi="Arial" w:cs="Arial"/>
          <w:b/>
          <w:color w:val="1A1A1A"/>
          <w:lang w:val="en-US" w:eastAsia="en-US"/>
        </w:rPr>
        <w:t xml:space="preserve">If </w:t>
      </w:r>
      <w:r w:rsidR="004B68D3">
        <w:rPr>
          <w:rFonts w:ascii="Arial" w:eastAsia="Times New Roman" w:hAnsi="Arial" w:cs="Arial"/>
          <w:b/>
          <w:color w:val="1A1A1A"/>
          <w:lang w:val="en-US" w:eastAsia="en-US"/>
        </w:rPr>
        <w:t>AtW</w:t>
      </w:r>
      <w:r w:rsidRPr="00715BD1">
        <w:rPr>
          <w:rFonts w:ascii="Arial" w:eastAsia="Times New Roman" w:hAnsi="Arial" w:cs="Arial"/>
          <w:b/>
          <w:color w:val="1A1A1A"/>
          <w:lang w:val="en-US" w:eastAsia="en-US"/>
        </w:rPr>
        <w:t xml:space="preserve"> say something to you that is different to what AtW Guidance Version 20 says – for example that it is AtW Policy not to pay cancellation charges, or that they can’t meet face to face, or they give you a daily limit that means you can’t book two interpreters all day – then quote their Guidance to them, and ask them to send you a copy of the Policy that they are </w:t>
      </w:r>
      <w:r w:rsidR="00172798">
        <w:rPr>
          <w:rFonts w:ascii="Arial" w:eastAsia="Times New Roman" w:hAnsi="Arial" w:cs="Arial"/>
          <w:b/>
          <w:color w:val="1A1A1A"/>
          <w:lang w:val="en-US" w:eastAsia="en-US"/>
        </w:rPr>
        <w:t>using</w:t>
      </w:r>
      <w:r w:rsidR="004B68D3">
        <w:rPr>
          <w:rFonts w:ascii="Arial" w:eastAsia="Times New Roman" w:hAnsi="Arial" w:cs="Arial"/>
          <w:b/>
          <w:color w:val="1A1A1A"/>
          <w:lang w:val="en-US" w:eastAsia="en-US"/>
        </w:rPr>
        <w:t xml:space="preserve"> that says their Guidance is wrong</w:t>
      </w:r>
      <w:r w:rsidRPr="00715BD1">
        <w:rPr>
          <w:rFonts w:ascii="Arial" w:eastAsia="Times New Roman" w:hAnsi="Arial" w:cs="Arial"/>
          <w:b/>
          <w:color w:val="1A1A1A"/>
          <w:lang w:val="en-US" w:eastAsia="en-US"/>
        </w:rPr>
        <w:t xml:space="preserve">.  </w:t>
      </w:r>
    </w:p>
    <w:p w14:paraId="285CB9C2" w14:textId="77777777" w:rsidR="00C250D9" w:rsidRPr="00715BD1" w:rsidRDefault="00C250D9" w:rsidP="00C250D9">
      <w:pPr>
        <w:rPr>
          <w:rFonts w:ascii="Arial" w:eastAsia="Times New Roman" w:hAnsi="Arial" w:cs="Arial"/>
          <w:b/>
          <w:color w:val="1A1A1A"/>
          <w:lang w:val="en-US" w:eastAsia="en-US"/>
        </w:rPr>
      </w:pPr>
    </w:p>
    <w:p w14:paraId="6AF342C2" w14:textId="77777777" w:rsidR="00DB5F36" w:rsidRPr="00715BD1" w:rsidRDefault="00C250D9" w:rsidP="00C250D9">
      <w:pPr>
        <w:rPr>
          <w:rFonts w:ascii="Arial" w:eastAsia="Times New Roman" w:hAnsi="Arial" w:cs="Arial"/>
          <w:b/>
          <w:color w:val="1A1A1A"/>
          <w:lang w:val="en-US" w:eastAsia="en-US"/>
        </w:rPr>
      </w:pPr>
      <w:r w:rsidRPr="00715BD1">
        <w:rPr>
          <w:rFonts w:ascii="Arial" w:eastAsia="Times New Roman" w:hAnsi="Arial" w:cs="Arial"/>
          <w:b/>
          <w:color w:val="1A1A1A"/>
          <w:lang w:val="en-US" w:eastAsia="en-US"/>
        </w:rPr>
        <w:t>If they won’t send it to you, then ask them the name of it, and put in a Freedom of Information request.</w:t>
      </w:r>
    </w:p>
    <w:p w14:paraId="0375E7C2" w14:textId="77777777" w:rsidR="00DB5F36" w:rsidRPr="00715BD1" w:rsidRDefault="00DB5F36" w:rsidP="00C250D9">
      <w:pPr>
        <w:rPr>
          <w:rFonts w:ascii="Arial" w:eastAsia="Times New Roman" w:hAnsi="Arial" w:cs="Arial"/>
          <w:b/>
          <w:color w:val="1A1A1A"/>
          <w:lang w:val="en-US" w:eastAsia="en-US"/>
        </w:rPr>
      </w:pPr>
    </w:p>
    <w:p w14:paraId="2C30A978" w14:textId="40DB033B" w:rsidR="00C250D9" w:rsidRPr="00715BD1" w:rsidRDefault="00DB5F36" w:rsidP="00C250D9">
      <w:pPr>
        <w:rPr>
          <w:rFonts w:ascii="Arial" w:eastAsia="Times New Roman" w:hAnsi="Arial" w:cs="Arial"/>
          <w:b/>
          <w:color w:val="1A1A1A"/>
          <w:lang w:val="en-US" w:eastAsia="en-US"/>
        </w:rPr>
      </w:pPr>
      <w:r w:rsidRPr="00715BD1">
        <w:rPr>
          <w:rFonts w:ascii="Arial" w:eastAsia="Times New Roman" w:hAnsi="Arial" w:cs="Arial"/>
          <w:b/>
          <w:color w:val="1A1A1A"/>
          <w:lang w:val="en-US" w:eastAsia="en-US"/>
        </w:rPr>
        <w:t>If you are asking AtW to Reconsider, or are complaining, you can show where what they are doing is different from what their Guidance says they should do.</w:t>
      </w:r>
    </w:p>
    <w:p w14:paraId="4A6BFF5F" w14:textId="77777777" w:rsidR="00C250D9" w:rsidRDefault="00C250D9" w:rsidP="00C250D9">
      <w:pPr>
        <w:rPr>
          <w:i/>
        </w:rPr>
      </w:pPr>
    </w:p>
    <w:p w14:paraId="19E3BA21" w14:textId="77777777" w:rsidR="00F142D1" w:rsidRPr="004D5A73" w:rsidRDefault="00F142D1" w:rsidP="00F142D1">
      <w:pPr>
        <w:pStyle w:val="Heading3"/>
      </w:pPr>
      <w:bookmarkStart w:id="1" w:name="_Toc245806810"/>
      <w:r w:rsidRPr="004D5A73">
        <w:t>AtW Guidance and what to consider when deciding what interpreter support is needed</w:t>
      </w:r>
      <w:bookmarkEnd w:id="1"/>
    </w:p>
    <w:p w14:paraId="50684181" w14:textId="77777777" w:rsidR="00F142D1" w:rsidRDefault="00F142D1" w:rsidP="00F142D1">
      <w:pPr>
        <w:pStyle w:val="ListNumber"/>
        <w:numPr>
          <w:ilvl w:val="0"/>
          <w:numId w:val="0"/>
        </w:numPr>
        <w:rPr>
          <w:rFonts w:cs="Arial"/>
          <w:color w:val="1A1A1A"/>
          <w:lang w:val="en-US"/>
        </w:rPr>
      </w:pPr>
    </w:p>
    <w:p w14:paraId="4AA5D093" w14:textId="179D06CB" w:rsidR="00F142D1" w:rsidRDefault="00F142D1" w:rsidP="00F142D1">
      <w:pPr>
        <w:pStyle w:val="ListNumber"/>
        <w:numPr>
          <w:ilvl w:val="0"/>
          <w:numId w:val="0"/>
        </w:numPr>
        <w:rPr>
          <w:rFonts w:cs="Arial"/>
          <w:color w:val="1A1A1A"/>
          <w:lang w:val="en-US"/>
        </w:rPr>
      </w:pPr>
      <w:r w:rsidRPr="00FE5838">
        <w:rPr>
          <w:rFonts w:cs="Arial"/>
          <w:color w:val="1A1A1A"/>
          <w:lang w:val="en-US"/>
        </w:rPr>
        <w:t xml:space="preserve">AtW Guidance v </w:t>
      </w:r>
      <w:r>
        <w:rPr>
          <w:rFonts w:cs="Arial"/>
          <w:color w:val="1A1A1A"/>
          <w:lang w:val="en-US"/>
        </w:rPr>
        <w:t>20 says that there are a number of things that the AtW Adviser needs to consider</w:t>
      </w:r>
      <w:r w:rsidR="001304A1">
        <w:rPr>
          <w:rFonts w:cs="Arial"/>
          <w:color w:val="1A1A1A"/>
          <w:lang w:val="en-US"/>
        </w:rPr>
        <w:t xml:space="preserve"> before deciding ‘what interpreter support needs to be put in place’</w:t>
      </w:r>
      <w:r>
        <w:rPr>
          <w:rFonts w:cs="Arial"/>
          <w:color w:val="1A1A1A"/>
          <w:lang w:val="en-US"/>
        </w:rPr>
        <w:t xml:space="preserve">.  </w:t>
      </w:r>
      <w:r w:rsidRPr="009611B8">
        <w:rPr>
          <w:rFonts w:eastAsiaTheme="minorEastAsia" w:cs="Arial"/>
          <w:color w:val="1A1A1A"/>
          <w:lang w:val="en-US" w:eastAsia="ja-JP"/>
        </w:rPr>
        <w:t>(</w:t>
      </w:r>
      <w:r w:rsidRPr="0057515D">
        <w:rPr>
          <w:rFonts w:eastAsiaTheme="minorEastAsia" w:cs="Arial"/>
          <w:color w:val="1A1A1A"/>
          <w:lang w:val="en-US" w:eastAsia="ja-JP"/>
        </w:rPr>
        <w:t>AtW 386, 387, 388, 390)</w:t>
      </w:r>
      <w:r>
        <w:rPr>
          <w:rFonts w:eastAsiaTheme="minorEastAsia" w:cs="Arial"/>
          <w:color w:val="1A1A1A"/>
          <w:lang w:val="en-US" w:eastAsia="ja-JP"/>
        </w:rPr>
        <w:t xml:space="preserve">  </w:t>
      </w:r>
      <w:r>
        <w:rPr>
          <w:rFonts w:cs="Arial"/>
          <w:color w:val="1A1A1A"/>
          <w:lang w:val="en-US"/>
        </w:rPr>
        <w:t xml:space="preserve">These include: </w:t>
      </w:r>
    </w:p>
    <w:p w14:paraId="563F61A8" w14:textId="77777777" w:rsidR="00F142D1" w:rsidRDefault="00F142D1" w:rsidP="00F142D1">
      <w:pPr>
        <w:pStyle w:val="ListNumber"/>
        <w:numPr>
          <w:ilvl w:val="0"/>
          <w:numId w:val="0"/>
        </w:numPr>
        <w:rPr>
          <w:rFonts w:cs="Arial"/>
          <w:color w:val="1A1A1A"/>
          <w:lang w:val="en-US"/>
        </w:rPr>
      </w:pPr>
    </w:p>
    <w:p w14:paraId="58924418" w14:textId="77777777" w:rsidR="00F142D1" w:rsidRPr="009611B8" w:rsidRDefault="00F142D1" w:rsidP="00F142D1">
      <w:pPr>
        <w:pStyle w:val="ListNumber"/>
        <w:numPr>
          <w:ilvl w:val="0"/>
          <w:numId w:val="0"/>
        </w:numPr>
        <w:rPr>
          <w:rFonts w:eastAsiaTheme="minorEastAsia" w:cs="Arial"/>
          <w:color w:val="1A1A1A"/>
          <w:lang w:val="en-US" w:eastAsia="ja-JP"/>
        </w:rPr>
      </w:pPr>
      <w:r w:rsidRPr="009611B8">
        <w:rPr>
          <w:rFonts w:eastAsiaTheme="minorEastAsia" w:cs="Arial"/>
          <w:color w:val="1A1A1A"/>
          <w:lang w:val="en-US" w:eastAsia="ja-JP"/>
        </w:rPr>
        <w:t>The event/environment</w:t>
      </w:r>
      <w:r>
        <w:rPr>
          <w:rFonts w:eastAsiaTheme="minorEastAsia" w:cs="Arial"/>
          <w:color w:val="1A1A1A"/>
          <w:lang w:val="en-US" w:eastAsia="ja-JP"/>
        </w:rPr>
        <w:t xml:space="preserve"> - </w:t>
      </w:r>
      <w:r w:rsidRPr="009611B8">
        <w:rPr>
          <w:rFonts w:eastAsiaTheme="minorEastAsia" w:cs="Arial"/>
          <w:color w:val="1A1A1A"/>
          <w:lang w:val="en-US" w:eastAsia="ja-JP"/>
        </w:rPr>
        <w:t xml:space="preserve">Is </w:t>
      </w:r>
      <w:r>
        <w:rPr>
          <w:rFonts w:eastAsiaTheme="minorEastAsia" w:cs="Arial"/>
          <w:color w:val="1A1A1A"/>
          <w:lang w:val="en-US" w:eastAsia="ja-JP"/>
        </w:rPr>
        <w:t>the setting informal or formal, a</w:t>
      </w:r>
      <w:r w:rsidRPr="009611B8">
        <w:rPr>
          <w:rFonts w:eastAsiaTheme="minorEastAsia" w:cs="Arial"/>
          <w:color w:val="1A1A1A"/>
          <w:lang w:val="en-US" w:eastAsia="ja-JP"/>
        </w:rPr>
        <w:t>re t</w:t>
      </w:r>
      <w:r>
        <w:rPr>
          <w:rFonts w:eastAsiaTheme="minorEastAsia" w:cs="Arial"/>
          <w:color w:val="1A1A1A"/>
          <w:lang w:val="en-US" w:eastAsia="ja-JP"/>
        </w:rPr>
        <w:t>here structured breaks in place, and w</w:t>
      </w:r>
      <w:r w:rsidRPr="009611B8">
        <w:rPr>
          <w:rFonts w:eastAsiaTheme="minorEastAsia" w:cs="Arial"/>
          <w:color w:val="1A1A1A"/>
          <w:lang w:val="en-US" w:eastAsia="ja-JP"/>
        </w:rPr>
        <w:t>ill there be ‘break out’ or syndicate exercises?</w:t>
      </w:r>
    </w:p>
    <w:p w14:paraId="7E4B334B" w14:textId="77777777" w:rsidR="00F142D1" w:rsidRDefault="00F142D1" w:rsidP="00F142D1">
      <w:pPr>
        <w:pStyle w:val="ListNumber"/>
        <w:numPr>
          <w:ilvl w:val="0"/>
          <w:numId w:val="0"/>
        </w:numPr>
        <w:rPr>
          <w:rFonts w:eastAsiaTheme="minorEastAsia" w:cs="Arial"/>
          <w:color w:val="1A1A1A"/>
          <w:lang w:val="en-US" w:eastAsia="ja-JP"/>
        </w:rPr>
      </w:pPr>
    </w:p>
    <w:p w14:paraId="25FBB7A3" w14:textId="77777777" w:rsidR="00F142D1" w:rsidRDefault="00F142D1" w:rsidP="00F142D1">
      <w:pPr>
        <w:pStyle w:val="ListNumber"/>
        <w:numPr>
          <w:ilvl w:val="0"/>
          <w:numId w:val="0"/>
        </w:numPr>
        <w:rPr>
          <w:rFonts w:eastAsiaTheme="minorEastAsia" w:cs="Arial"/>
          <w:color w:val="1A1A1A"/>
          <w:lang w:val="en-US" w:eastAsia="ja-JP"/>
        </w:rPr>
      </w:pPr>
      <w:r w:rsidRPr="009611B8">
        <w:rPr>
          <w:rFonts w:eastAsiaTheme="minorEastAsia" w:cs="Arial"/>
          <w:color w:val="1A1A1A"/>
          <w:lang w:val="en-US" w:eastAsia="ja-JP"/>
        </w:rPr>
        <w:t>The participants</w:t>
      </w:r>
      <w:r>
        <w:rPr>
          <w:rFonts w:eastAsiaTheme="minorEastAsia" w:cs="Arial"/>
          <w:color w:val="1A1A1A"/>
          <w:lang w:val="en-US" w:eastAsia="ja-JP"/>
        </w:rPr>
        <w:t xml:space="preserve"> - </w:t>
      </w:r>
      <w:r w:rsidRPr="009611B8">
        <w:rPr>
          <w:rFonts w:eastAsiaTheme="minorEastAsia" w:cs="Arial"/>
          <w:color w:val="1A1A1A"/>
          <w:lang w:val="en-US" w:eastAsia="ja-JP"/>
        </w:rPr>
        <w:t>Is it a str</w:t>
      </w:r>
      <w:r>
        <w:rPr>
          <w:rFonts w:eastAsiaTheme="minorEastAsia" w:cs="Arial"/>
          <w:color w:val="1A1A1A"/>
          <w:lang w:val="en-US" w:eastAsia="ja-JP"/>
        </w:rPr>
        <w:t>aightforward one-to-one meeting, is there a large audience, a</w:t>
      </w:r>
      <w:r w:rsidRPr="009611B8">
        <w:rPr>
          <w:rFonts w:eastAsiaTheme="minorEastAsia" w:cs="Arial"/>
          <w:color w:val="1A1A1A"/>
          <w:lang w:val="en-US" w:eastAsia="ja-JP"/>
        </w:rPr>
        <w:t>re there several people attending who will require a BSL Interpreter?</w:t>
      </w:r>
    </w:p>
    <w:p w14:paraId="44C0B790" w14:textId="77777777" w:rsidR="00F142D1" w:rsidRPr="009611B8" w:rsidRDefault="00F142D1" w:rsidP="00F142D1">
      <w:pPr>
        <w:pStyle w:val="ListNumber"/>
        <w:numPr>
          <w:ilvl w:val="0"/>
          <w:numId w:val="0"/>
        </w:numPr>
        <w:rPr>
          <w:rFonts w:eastAsiaTheme="minorEastAsia" w:cs="Arial"/>
          <w:color w:val="1A1A1A"/>
          <w:lang w:val="en-US" w:eastAsia="ja-JP"/>
        </w:rPr>
      </w:pPr>
    </w:p>
    <w:p w14:paraId="304EF6DD" w14:textId="77777777" w:rsidR="00F142D1" w:rsidRDefault="00F142D1" w:rsidP="00F142D1">
      <w:pPr>
        <w:pStyle w:val="ListBullet"/>
        <w:numPr>
          <w:ilvl w:val="0"/>
          <w:numId w:val="0"/>
        </w:numPr>
        <w:rPr>
          <w:rFonts w:eastAsiaTheme="minorEastAsia" w:cs="Arial"/>
          <w:color w:val="1A1A1A"/>
          <w:lang w:val="en-US" w:eastAsia="ja-JP"/>
        </w:rPr>
      </w:pPr>
      <w:r w:rsidRPr="009611B8">
        <w:rPr>
          <w:rFonts w:eastAsiaTheme="minorEastAsia" w:cs="Arial"/>
          <w:color w:val="1A1A1A"/>
          <w:lang w:val="en-US" w:eastAsia="ja-JP"/>
        </w:rPr>
        <w:t>The content</w:t>
      </w:r>
      <w:r>
        <w:rPr>
          <w:rFonts w:eastAsiaTheme="minorEastAsia" w:cs="Arial"/>
          <w:color w:val="1A1A1A"/>
          <w:lang w:val="en-US" w:eastAsia="ja-JP"/>
        </w:rPr>
        <w:t xml:space="preserve"> - </w:t>
      </w:r>
      <w:r w:rsidRPr="009611B8">
        <w:rPr>
          <w:rFonts w:eastAsiaTheme="minorEastAsia" w:cs="Arial"/>
          <w:color w:val="1A1A1A"/>
          <w:lang w:val="en-US" w:eastAsia="ja-JP"/>
        </w:rPr>
        <w:t xml:space="preserve">Is the topic straightforward or will </w:t>
      </w:r>
      <w:r>
        <w:rPr>
          <w:rFonts w:eastAsiaTheme="minorEastAsia" w:cs="Arial"/>
          <w:color w:val="1A1A1A"/>
          <w:lang w:val="en-US" w:eastAsia="ja-JP"/>
        </w:rPr>
        <w:t xml:space="preserve">it require specialist knowledge, how important is the content, will </w:t>
      </w:r>
      <w:r w:rsidRPr="009611B8">
        <w:rPr>
          <w:rFonts w:eastAsiaTheme="minorEastAsia" w:cs="Arial"/>
          <w:color w:val="1A1A1A"/>
          <w:lang w:val="en-US" w:eastAsia="ja-JP"/>
        </w:rPr>
        <w:t>there be a rapid change over of speakers that could m</w:t>
      </w:r>
      <w:r>
        <w:rPr>
          <w:rFonts w:eastAsiaTheme="minorEastAsia" w:cs="Arial"/>
          <w:color w:val="1A1A1A"/>
          <w:lang w:val="en-US" w:eastAsia="ja-JP"/>
        </w:rPr>
        <w:t>ake interpreting more difficult, w</w:t>
      </w:r>
      <w:r w:rsidRPr="009611B8">
        <w:rPr>
          <w:rFonts w:eastAsiaTheme="minorEastAsia" w:cs="Arial"/>
          <w:color w:val="1A1A1A"/>
          <w:lang w:val="en-US" w:eastAsia="ja-JP"/>
        </w:rPr>
        <w:t>hat are the implications for the customer or others if there is a misinterpretation?</w:t>
      </w:r>
    </w:p>
    <w:p w14:paraId="566C04C5" w14:textId="77777777" w:rsidR="001304A1" w:rsidRDefault="001304A1" w:rsidP="00F142D1">
      <w:pPr>
        <w:pStyle w:val="ListBullet"/>
        <w:numPr>
          <w:ilvl w:val="0"/>
          <w:numId w:val="0"/>
        </w:numPr>
        <w:rPr>
          <w:rFonts w:eastAsiaTheme="minorEastAsia" w:cs="Arial"/>
          <w:color w:val="1A1A1A"/>
          <w:lang w:val="en-US" w:eastAsia="ja-JP"/>
        </w:rPr>
      </w:pPr>
    </w:p>
    <w:p w14:paraId="08FFE518" w14:textId="5C046FEE" w:rsidR="001304A1" w:rsidRDefault="001304A1" w:rsidP="00F142D1">
      <w:pPr>
        <w:pStyle w:val="ListBullet"/>
        <w:numPr>
          <w:ilvl w:val="0"/>
          <w:numId w:val="0"/>
        </w:numPr>
        <w:rPr>
          <w:rFonts w:eastAsiaTheme="minorEastAsia" w:cs="Arial"/>
          <w:color w:val="1A1A1A"/>
          <w:lang w:val="en-US" w:eastAsia="ja-JP"/>
        </w:rPr>
      </w:pPr>
      <w:r>
        <w:rPr>
          <w:rFonts w:eastAsiaTheme="minorEastAsia" w:cs="Arial"/>
          <w:color w:val="1A1A1A"/>
          <w:lang w:val="en-US" w:eastAsia="ja-JP"/>
        </w:rPr>
        <w:t>How long will the event be?  Over 2 hours, and two interpreters are required.</w:t>
      </w:r>
    </w:p>
    <w:p w14:paraId="6061572C" w14:textId="77777777" w:rsidR="00F142D1" w:rsidRDefault="00F142D1" w:rsidP="00F142D1">
      <w:pPr>
        <w:pStyle w:val="ListBullet"/>
        <w:numPr>
          <w:ilvl w:val="0"/>
          <w:numId w:val="0"/>
        </w:numPr>
        <w:rPr>
          <w:rFonts w:eastAsiaTheme="minorEastAsia" w:cs="Arial"/>
          <w:color w:val="1A1A1A"/>
          <w:lang w:val="en-US" w:eastAsia="ja-JP"/>
        </w:rPr>
      </w:pPr>
    </w:p>
    <w:p w14:paraId="115A197D" w14:textId="77777777" w:rsidR="00F142D1" w:rsidRDefault="00F142D1" w:rsidP="00F142D1">
      <w:pPr>
        <w:pStyle w:val="ListBullet"/>
        <w:numPr>
          <w:ilvl w:val="0"/>
          <w:numId w:val="0"/>
        </w:numPr>
        <w:rPr>
          <w:rFonts w:eastAsiaTheme="minorEastAsia" w:cs="Arial"/>
          <w:color w:val="1A1A1A"/>
          <w:lang w:val="en-US" w:eastAsia="ja-JP"/>
        </w:rPr>
      </w:pPr>
      <w:r>
        <w:rPr>
          <w:rFonts w:eastAsiaTheme="minorEastAsia" w:cs="Arial"/>
          <w:color w:val="1A1A1A"/>
          <w:lang w:val="en-US" w:eastAsia="ja-JP"/>
        </w:rPr>
        <w:t xml:space="preserve">The Guidance also has a table recommending levels of interpreter for different kinds of interpreter.  (AtW 377)  This table is wrong.  It still includes the Junior Trainee Interpreter (JTI) category.  This category has gone.  It also doesn’t match the other guidance, </w:t>
      </w:r>
      <w:r w:rsidRPr="009611B8">
        <w:rPr>
          <w:rFonts w:eastAsiaTheme="minorEastAsia" w:cs="Arial"/>
          <w:color w:val="1A1A1A"/>
          <w:lang w:val="en-US" w:eastAsia="ja-JP"/>
        </w:rPr>
        <w:t>(</w:t>
      </w:r>
      <w:r w:rsidRPr="0057515D">
        <w:rPr>
          <w:rFonts w:eastAsiaTheme="minorEastAsia" w:cs="Arial"/>
          <w:color w:val="1A1A1A"/>
          <w:lang w:val="en-US" w:eastAsia="ja-JP"/>
        </w:rPr>
        <w:t>AtW 386, 387, 388, 390)</w:t>
      </w:r>
      <w:r>
        <w:rPr>
          <w:rFonts w:eastAsiaTheme="minorEastAsia" w:cs="Arial"/>
          <w:color w:val="1A1A1A"/>
          <w:lang w:val="en-US" w:eastAsia="ja-JP"/>
        </w:rPr>
        <w:t>, which talks about complexity and impact.</w:t>
      </w:r>
    </w:p>
    <w:p w14:paraId="6DE94D10" w14:textId="77777777" w:rsidR="00F142D1" w:rsidRDefault="00F142D1" w:rsidP="00F142D1">
      <w:pPr>
        <w:pStyle w:val="ListBullet"/>
        <w:numPr>
          <w:ilvl w:val="0"/>
          <w:numId w:val="0"/>
        </w:numPr>
        <w:rPr>
          <w:rFonts w:eastAsiaTheme="minorEastAsia" w:cs="Arial"/>
          <w:color w:val="1A1A1A"/>
          <w:lang w:val="en-US" w:eastAsia="ja-JP"/>
        </w:rPr>
      </w:pPr>
    </w:p>
    <w:p w14:paraId="45E85C7F" w14:textId="6D2A45FD" w:rsidR="00D07837" w:rsidRPr="003F2EEF" w:rsidRDefault="00D07837" w:rsidP="00D07837">
      <w:pPr>
        <w:pStyle w:val="Heading3"/>
        <w:rPr>
          <w:rStyle w:val="Emphasis"/>
          <w:i w:val="0"/>
        </w:rPr>
      </w:pPr>
      <w:r w:rsidRPr="003F2EEF">
        <w:rPr>
          <w:rStyle w:val="Emphasis"/>
          <w:i w:val="0"/>
        </w:rPr>
        <w:lastRenderedPageBreak/>
        <w:t xml:space="preserve">AtW Guidance and </w:t>
      </w:r>
      <w:r w:rsidR="00251B1A" w:rsidRPr="003F2EEF">
        <w:rPr>
          <w:rStyle w:val="Emphasis"/>
          <w:i w:val="0"/>
        </w:rPr>
        <w:t xml:space="preserve">assessing AtW on their provision of appropriate support </w:t>
      </w:r>
      <w:r w:rsidRPr="003F2EEF">
        <w:rPr>
          <w:rStyle w:val="Emphasis"/>
          <w:i w:val="0"/>
        </w:rPr>
        <w:t xml:space="preserve"> – does the support meet the customer’s needs?</w:t>
      </w:r>
    </w:p>
    <w:p w14:paraId="39B96A1B" w14:textId="77777777" w:rsidR="00251B1A" w:rsidRDefault="00251B1A" w:rsidP="00251B1A">
      <w:pPr>
        <w:rPr>
          <w:rFonts w:ascii="Arial" w:hAnsi="Arial" w:cs="Arial"/>
          <w:color w:val="1A1A1A"/>
          <w:lang w:val="en-US"/>
        </w:rPr>
      </w:pPr>
    </w:p>
    <w:p w14:paraId="7414F000" w14:textId="7168933B" w:rsidR="00251B1A" w:rsidRDefault="00251B1A" w:rsidP="00251B1A">
      <w:pPr>
        <w:rPr>
          <w:rFonts w:ascii="Arial" w:hAnsi="Arial" w:cs="Arial"/>
          <w:color w:val="1A1A1A"/>
          <w:lang w:val="en-US"/>
        </w:rPr>
      </w:pPr>
      <w:r>
        <w:rPr>
          <w:rFonts w:ascii="Arial" w:hAnsi="Arial" w:cs="Arial"/>
          <w:color w:val="1A1A1A"/>
          <w:lang w:val="en-US"/>
        </w:rPr>
        <w:t xml:space="preserve">AtW Guidance v 20 says that AtW performance is measured by how soon after the application </w:t>
      </w:r>
      <w:r w:rsidRPr="00D61709">
        <w:rPr>
          <w:rFonts w:ascii="Arial" w:hAnsi="Arial" w:cs="Arial"/>
          <w:color w:val="1A1A1A"/>
          <w:u w:val="single"/>
          <w:lang w:val="en-US"/>
        </w:rPr>
        <w:t>appropriate support</w:t>
      </w:r>
      <w:r>
        <w:rPr>
          <w:rFonts w:ascii="Arial" w:hAnsi="Arial" w:cs="Arial"/>
          <w:color w:val="1A1A1A"/>
          <w:lang w:val="en-US"/>
        </w:rPr>
        <w:t xml:space="preserve"> is put in place.  (AtW 607).  </w:t>
      </w:r>
    </w:p>
    <w:p w14:paraId="62481873" w14:textId="77777777" w:rsidR="00251B1A" w:rsidRDefault="00251B1A" w:rsidP="00251B1A">
      <w:pPr>
        <w:rPr>
          <w:rFonts w:ascii="Arial" w:hAnsi="Arial" w:cs="Arial"/>
          <w:color w:val="1A1A1A"/>
          <w:lang w:val="en-US"/>
        </w:rPr>
      </w:pPr>
    </w:p>
    <w:p w14:paraId="7CD0F296" w14:textId="1899C62D" w:rsidR="000D46CE" w:rsidRDefault="00251B1A" w:rsidP="0040599B">
      <w:pPr>
        <w:rPr>
          <w:rFonts w:ascii="Arial" w:hAnsi="Arial" w:cs="Arial"/>
          <w:color w:val="1A1A1A"/>
          <w:lang w:val="en-US"/>
        </w:rPr>
      </w:pPr>
      <w:r>
        <w:rPr>
          <w:rFonts w:ascii="Arial" w:hAnsi="Arial" w:cs="Arial"/>
          <w:color w:val="1A1A1A"/>
          <w:lang w:val="en-US"/>
        </w:rPr>
        <w:t xml:space="preserve">If </w:t>
      </w:r>
      <w:r w:rsidR="000D46CE">
        <w:rPr>
          <w:rFonts w:ascii="Arial" w:hAnsi="Arial" w:cs="Arial"/>
          <w:color w:val="1A1A1A"/>
          <w:lang w:val="en-US"/>
        </w:rPr>
        <w:t>you don’t feel your support is appropriate</w:t>
      </w:r>
      <w:r>
        <w:rPr>
          <w:rFonts w:ascii="Arial" w:hAnsi="Arial" w:cs="Arial"/>
          <w:color w:val="1A1A1A"/>
          <w:lang w:val="en-US"/>
        </w:rPr>
        <w:t>, then you can tell the AtW adviser that you are expecting them to say in their report</w:t>
      </w:r>
      <w:r w:rsidR="000D46CE">
        <w:rPr>
          <w:rFonts w:ascii="Arial" w:hAnsi="Arial" w:cs="Arial"/>
          <w:color w:val="1A1A1A"/>
          <w:lang w:val="en-US"/>
        </w:rPr>
        <w:t>ing</w:t>
      </w:r>
      <w:r>
        <w:rPr>
          <w:rFonts w:ascii="Arial" w:hAnsi="Arial" w:cs="Arial"/>
          <w:color w:val="1A1A1A"/>
          <w:lang w:val="en-US"/>
        </w:rPr>
        <w:t xml:space="preserve"> that you are saying that it </w:t>
      </w:r>
      <w:r w:rsidR="000D46CE">
        <w:rPr>
          <w:rFonts w:ascii="Arial" w:hAnsi="Arial" w:cs="Arial"/>
          <w:color w:val="1A1A1A"/>
          <w:lang w:val="en-US"/>
        </w:rPr>
        <w:t>is not appropriate support</w:t>
      </w:r>
      <w:r>
        <w:rPr>
          <w:rFonts w:ascii="Arial" w:hAnsi="Arial" w:cs="Arial"/>
          <w:color w:val="1A1A1A"/>
          <w:lang w:val="en-US"/>
        </w:rPr>
        <w:t>.</w:t>
      </w:r>
    </w:p>
    <w:p w14:paraId="2946C5EA" w14:textId="77777777" w:rsidR="00515685" w:rsidRDefault="00515685" w:rsidP="0040599B">
      <w:pPr>
        <w:rPr>
          <w:rFonts w:ascii="Arial" w:hAnsi="Arial" w:cs="Arial"/>
          <w:color w:val="1A1A1A"/>
          <w:lang w:val="en-US"/>
        </w:rPr>
      </w:pPr>
    </w:p>
    <w:p w14:paraId="37F78C2C" w14:textId="77777777" w:rsidR="00515685" w:rsidRPr="001932B9" w:rsidRDefault="00515685" w:rsidP="00515685">
      <w:pPr>
        <w:pStyle w:val="Heading3"/>
        <w:rPr>
          <w:rStyle w:val="Emphasis"/>
          <w:rFonts w:eastAsiaTheme="minorEastAsia"/>
          <w:b w:val="0"/>
          <w:bCs w:val="0"/>
          <w:i w:val="0"/>
          <w:color w:val="1A1A1A"/>
        </w:rPr>
      </w:pPr>
      <w:r w:rsidRPr="001932B9">
        <w:rPr>
          <w:rStyle w:val="Emphasis"/>
          <w:i w:val="0"/>
        </w:rPr>
        <w:t>AtW Guidance and Reviews – does the support meet the customer’s needs?</w:t>
      </w:r>
    </w:p>
    <w:p w14:paraId="2EC951F2" w14:textId="77777777" w:rsidR="00515685" w:rsidRDefault="00515685" w:rsidP="00515685">
      <w:pPr>
        <w:rPr>
          <w:rFonts w:ascii="Arial" w:hAnsi="Arial" w:cs="Arial"/>
          <w:color w:val="1A1A1A"/>
          <w:lang w:val="en-US"/>
        </w:rPr>
      </w:pPr>
    </w:p>
    <w:p w14:paraId="7C598235" w14:textId="77777777" w:rsidR="00515685" w:rsidRDefault="00515685" w:rsidP="00515685">
      <w:pPr>
        <w:rPr>
          <w:rFonts w:ascii="Arial" w:hAnsi="Arial" w:cs="Arial"/>
          <w:color w:val="1A1A1A"/>
          <w:lang w:val="en-US"/>
        </w:rPr>
      </w:pPr>
      <w:r>
        <w:rPr>
          <w:rFonts w:ascii="Arial" w:hAnsi="Arial" w:cs="Arial"/>
          <w:color w:val="1A1A1A"/>
          <w:lang w:val="en-US"/>
        </w:rPr>
        <w:t xml:space="preserve">AtW Guidance v 20 says that in </w:t>
      </w:r>
      <w:r w:rsidRPr="00387453">
        <w:rPr>
          <w:rFonts w:ascii="Arial" w:hAnsi="Arial" w:cs="Arial"/>
          <w:color w:val="1A1A1A"/>
          <w:u w:val="single"/>
          <w:lang w:val="en-US"/>
        </w:rPr>
        <w:t>every</w:t>
      </w:r>
      <w:r>
        <w:rPr>
          <w:rFonts w:ascii="Arial" w:hAnsi="Arial" w:cs="Arial"/>
          <w:color w:val="1A1A1A"/>
          <w:lang w:val="en-US"/>
        </w:rPr>
        <w:t xml:space="preserve"> review the adviser must confirm that the support continues to meet the customers’ needs.  (AtW 646, 652).  </w:t>
      </w:r>
    </w:p>
    <w:p w14:paraId="10E52E88" w14:textId="77777777" w:rsidR="00515685" w:rsidRDefault="00515685" w:rsidP="00515685">
      <w:pPr>
        <w:rPr>
          <w:rFonts w:ascii="Arial" w:hAnsi="Arial" w:cs="Arial"/>
          <w:color w:val="1A1A1A"/>
          <w:lang w:val="en-US"/>
        </w:rPr>
      </w:pPr>
    </w:p>
    <w:p w14:paraId="4336D3E0" w14:textId="77777777" w:rsidR="00515685" w:rsidRPr="00E328A5" w:rsidRDefault="00515685" w:rsidP="00515685">
      <w:pPr>
        <w:rPr>
          <w:rFonts w:ascii="Arial" w:hAnsi="Arial" w:cs="Arial"/>
          <w:color w:val="1A1A1A"/>
          <w:lang w:val="en-US"/>
        </w:rPr>
      </w:pPr>
      <w:r>
        <w:rPr>
          <w:rFonts w:ascii="Arial" w:hAnsi="Arial" w:cs="Arial"/>
          <w:color w:val="1A1A1A"/>
          <w:lang w:val="en-US"/>
        </w:rPr>
        <w:t>If it doesn’t, then you can tell the AtW adviser that you are expecting them to say in their report that you are saying that it does not meet your needs.</w:t>
      </w:r>
    </w:p>
    <w:p w14:paraId="5E547780" w14:textId="77777777" w:rsidR="0040599B" w:rsidRPr="0040599B" w:rsidRDefault="0040599B" w:rsidP="0040599B">
      <w:pPr>
        <w:rPr>
          <w:rFonts w:ascii="Arial" w:hAnsi="Arial" w:cs="Arial"/>
          <w:color w:val="1A1A1A"/>
          <w:lang w:val="en-US"/>
        </w:rPr>
      </w:pPr>
    </w:p>
    <w:p w14:paraId="09EEEE2D" w14:textId="77777777" w:rsidR="000405A6" w:rsidRPr="001932B9" w:rsidRDefault="000405A6" w:rsidP="000405A6">
      <w:pPr>
        <w:pStyle w:val="Heading3"/>
        <w:rPr>
          <w:rStyle w:val="Emphasis"/>
          <w:rFonts w:eastAsiaTheme="minorEastAsia"/>
          <w:b w:val="0"/>
          <w:bCs w:val="0"/>
          <w:i w:val="0"/>
          <w:color w:val="1A1A1A"/>
        </w:rPr>
      </w:pPr>
      <w:bookmarkStart w:id="2" w:name="_Toc245806806"/>
      <w:r w:rsidRPr="001932B9">
        <w:rPr>
          <w:rStyle w:val="Emphasis"/>
          <w:i w:val="0"/>
        </w:rPr>
        <w:t>AtW Guidance and Travel costs</w:t>
      </w:r>
      <w:bookmarkEnd w:id="2"/>
    </w:p>
    <w:p w14:paraId="2E33D94A" w14:textId="77777777" w:rsidR="000405A6" w:rsidRDefault="000405A6" w:rsidP="000405A6">
      <w:pPr>
        <w:rPr>
          <w:rFonts w:ascii="Arial" w:hAnsi="Arial" w:cs="Arial"/>
          <w:b/>
          <w:color w:val="1A1A1A"/>
          <w:u w:val="single"/>
          <w:lang w:val="en-US"/>
        </w:rPr>
      </w:pPr>
    </w:p>
    <w:p w14:paraId="1623B46B" w14:textId="77777777" w:rsidR="000405A6" w:rsidRDefault="006D4370" w:rsidP="000405A6">
      <w:pPr>
        <w:pStyle w:val="ListNumber"/>
        <w:numPr>
          <w:ilvl w:val="0"/>
          <w:numId w:val="0"/>
        </w:numPr>
        <w:rPr>
          <w:rFonts w:cs="Arial"/>
          <w:color w:val="1A1A1A"/>
          <w:lang w:val="en-US"/>
        </w:rPr>
      </w:pPr>
      <w:r>
        <w:rPr>
          <w:rFonts w:eastAsiaTheme="minorEastAsia" w:cs="Arial"/>
          <w:color w:val="1A1A1A"/>
          <w:lang w:val="en-US" w:eastAsia="ja-JP"/>
        </w:rPr>
        <w:t>AtW Guidance v 20</w:t>
      </w:r>
      <w:r w:rsidR="000405A6" w:rsidRPr="00077614">
        <w:rPr>
          <w:rFonts w:eastAsiaTheme="minorEastAsia" w:cs="Arial"/>
          <w:color w:val="1A1A1A"/>
          <w:lang w:val="en-US" w:eastAsia="ja-JP"/>
        </w:rPr>
        <w:t xml:space="preserve"> says that S</w:t>
      </w:r>
      <w:r w:rsidR="000405A6">
        <w:rPr>
          <w:rFonts w:eastAsiaTheme="minorEastAsia" w:cs="Arial"/>
          <w:color w:val="1A1A1A"/>
          <w:lang w:val="en-US" w:eastAsia="ja-JP"/>
        </w:rPr>
        <w:t xml:space="preserve">upport </w:t>
      </w:r>
      <w:r w:rsidR="000405A6" w:rsidRPr="00077614">
        <w:rPr>
          <w:rFonts w:eastAsiaTheme="minorEastAsia" w:cs="Arial"/>
          <w:color w:val="1A1A1A"/>
          <w:lang w:val="en-US" w:eastAsia="ja-JP"/>
        </w:rPr>
        <w:t>W</w:t>
      </w:r>
      <w:r w:rsidR="000405A6">
        <w:rPr>
          <w:rFonts w:eastAsiaTheme="minorEastAsia" w:cs="Arial"/>
          <w:color w:val="1A1A1A"/>
          <w:lang w:val="en-US" w:eastAsia="ja-JP"/>
        </w:rPr>
        <w:t>orkers</w:t>
      </w:r>
      <w:r w:rsidR="000405A6" w:rsidRPr="00077614">
        <w:rPr>
          <w:rFonts w:eastAsiaTheme="minorEastAsia" w:cs="Arial"/>
          <w:color w:val="1A1A1A"/>
          <w:lang w:val="en-US" w:eastAsia="ja-JP"/>
        </w:rPr>
        <w:t xml:space="preserve"> travel expenses should be included in the hourly rate quoted for support.  The Support Worker’s normal travel to work costs should be included in their original quote. If the customer will require the Support Worker to make additional journeys to support the</w:t>
      </w:r>
      <w:r w:rsidR="000405A6">
        <w:rPr>
          <w:rFonts w:eastAsiaTheme="minorEastAsia" w:cs="Arial"/>
          <w:color w:val="1A1A1A"/>
          <w:lang w:val="en-US" w:eastAsia="ja-JP"/>
        </w:rPr>
        <w:t>ir</w:t>
      </w:r>
      <w:r w:rsidR="000405A6" w:rsidRPr="00077614">
        <w:rPr>
          <w:rFonts w:eastAsiaTheme="minorEastAsia" w:cs="Arial"/>
          <w:color w:val="1A1A1A"/>
          <w:lang w:val="en-US" w:eastAsia="ja-JP"/>
        </w:rPr>
        <w:t xml:space="preserve"> requirements, an estimate of the mileage, paid at the standard mileage rate of 25p per mile, must be included in the business case. Car parking charges cannot be reimbursed. </w:t>
      </w:r>
      <w:r w:rsidR="000405A6" w:rsidRPr="00A511C6">
        <w:rPr>
          <w:rFonts w:cs="Arial"/>
          <w:color w:val="1A1A1A"/>
          <w:lang w:val="en-US"/>
        </w:rPr>
        <w:t xml:space="preserve">(AtW </w:t>
      </w:r>
      <w:r w:rsidR="00491FF5">
        <w:rPr>
          <w:rFonts w:cs="Arial"/>
          <w:color w:val="1A1A1A"/>
          <w:lang w:val="en-US"/>
        </w:rPr>
        <w:t>362, 368, 369</w:t>
      </w:r>
      <w:r w:rsidR="000405A6">
        <w:rPr>
          <w:rFonts w:cs="Arial"/>
          <w:color w:val="1A1A1A"/>
          <w:lang w:val="en-US"/>
        </w:rPr>
        <w:t xml:space="preserve">, </w:t>
      </w:r>
      <w:r w:rsidR="00491FF5">
        <w:rPr>
          <w:rFonts w:cs="Arial"/>
          <w:color w:val="1A1A1A"/>
          <w:lang w:val="en-US"/>
        </w:rPr>
        <w:t>563</w:t>
      </w:r>
      <w:r w:rsidR="000405A6">
        <w:rPr>
          <w:rFonts w:cs="Arial"/>
          <w:color w:val="1A1A1A"/>
          <w:lang w:val="en-US"/>
        </w:rPr>
        <w:t xml:space="preserve">).  </w:t>
      </w:r>
    </w:p>
    <w:p w14:paraId="4BD8BE83" w14:textId="77777777" w:rsidR="0074738A" w:rsidRPr="00745803" w:rsidRDefault="0074738A" w:rsidP="000405A6">
      <w:pPr>
        <w:pStyle w:val="ListNumber"/>
        <w:numPr>
          <w:ilvl w:val="0"/>
          <w:numId w:val="0"/>
        </w:numPr>
        <w:rPr>
          <w:rFonts w:eastAsiaTheme="minorEastAsia" w:cs="Arial"/>
          <w:color w:val="1A1A1A"/>
          <w:lang w:val="en-US" w:eastAsia="ja-JP"/>
        </w:rPr>
      </w:pPr>
    </w:p>
    <w:p w14:paraId="72CD19C0" w14:textId="77777777" w:rsidR="000405A6" w:rsidRPr="00CE797D" w:rsidRDefault="000405A6" w:rsidP="000405A6">
      <w:pPr>
        <w:pStyle w:val="Heading3"/>
        <w:rPr>
          <w:rStyle w:val="Emphasis"/>
          <w:rFonts w:asciiTheme="minorHAnsi" w:eastAsiaTheme="minorEastAsia" w:hAnsiTheme="minorHAnsi" w:cstheme="minorBidi"/>
          <w:b w:val="0"/>
          <w:bCs w:val="0"/>
          <w:i w:val="0"/>
          <w:color w:val="auto"/>
        </w:rPr>
      </w:pPr>
      <w:bookmarkStart w:id="3" w:name="_Toc245806807"/>
      <w:r w:rsidRPr="00CE797D">
        <w:rPr>
          <w:rStyle w:val="Emphasis"/>
          <w:i w:val="0"/>
        </w:rPr>
        <w:t>AtW Guidance and meeting full cost of employing a Support Worker (Interpreter)</w:t>
      </w:r>
      <w:bookmarkEnd w:id="3"/>
    </w:p>
    <w:p w14:paraId="4161D363" w14:textId="77777777" w:rsidR="000405A6" w:rsidRDefault="000405A6" w:rsidP="000405A6">
      <w:pPr>
        <w:rPr>
          <w:rFonts w:ascii="Arial" w:hAnsi="Arial" w:cs="Arial"/>
          <w:b/>
          <w:color w:val="1A1A1A"/>
          <w:u w:val="single"/>
          <w:lang w:val="en-US"/>
        </w:rPr>
      </w:pPr>
    </w:p>
    <w:p w14:paraId="60F74186" w14:textId="60BAE436" w:rsidR="000405A6" w:rsidRPr="004D4D59" w:rsidRDefault="000405A6" w:rsidP="000405A6">
      <w:pPr>
        <w:pStyle w:val="ListNumber"/>
        <w:numPr>
          <w:ilvl w:val="0"/>
          <w:numId w:val="0"/>
        </w:numPr>
      </w:pPr>
      <w:r>
        <w:rPr>
          <w:rFonts w:cs="Arial"/>
          <w:color w:val="1A1A1A"/>
          <w:lang w:val="en-US"/>
        </w:rPr>
        <w:t xml:space="preserve">AtW Guidance v </w:t>
      </w:r>
      <w:r w:rsidR="00825947">
        <w:rPr>
          <w:rFonts w:cs="Arial"/>
          <w:color w:val="1A1A1A"/>
          <w:lang w:val="en-US"/>
        </w:rPr>
        <w:t>20</w:t>
      </w:r>
      <w:r>
        <w:rPr>
          <w:rFonts w:cs="Arial"/>
          <w:color w:val="1A1A1A"/>
          <w:lang w:val="en-US"/>
        </w:rPr>
        <w:t xml:space="preserve"> says that t</w:t>
      </w:r>
      <w:r>
        <w:t xml:space="preserve">he Support Worker (SW) element of AtW </w:t>
      </w:r>
      <w:r w:rsidRPr="008442A8">
        <w:rPr>
          <w:u w:val="single"/>
        </w:rPr>
        <w:t>offers financial assistance to cover the full cost</w:t>
      </w:r>
      <w:r>
        <w:t xml:space="preserve"> of providing a SW in the workplace.</w:t>
      </w:r>
      <w:r w:rsidR="00E12B57">
        <w:t xml:space="preserve">  (AtW 310)</w:t>
      </w:r>
    </w:p>
    <w:p w14:paraId="0899933D" w14:textId="77777777" w:rsidR="000405A6" w:rsidRDefault="000405A6" w:rsidP="000405A6">
      <w:pPr>
        <w:rPr>
          <w:rFonts w:ascii="Arial" w:hAnsi="Arial" w:cs="Arial"/>
          <w:color w:val="1A1A1A"/>
          <w:lang w:val="en-US"/>
        </w:rPr>
      </w:pPr>
    </w:p>
    <w:p w14:paraId="06B251AC" w14:textId="04CEC7A1" w:rsidR="000405A6" w:rsidRPr="000B4B58" w:rsidRDefault="000405A6" w:rsidP="000405A6">
      <w:pPr>
        <w:rPr>
          <w:rFonts w:ascii="Arial" w:hAnsi="Arial" w:cs="Arial"/>
          <w:color w:val="1A1A1A"/>
          <w:lang w:val="en-US"/>
        </w:rPr>
      </w:pPr>
      <w:r>
        <w:rPr>
          <w:rFonts w:ascii="Arial" w:hAnsi="Arial" w:cs="Arial"/>
          <w:color w:val="1A1A1A"/>
          <w:lang w:val="en-US"/>
        </w:rPr>
        <w:t>It says that AtW</w:t>
      </w:r>
      <w:r w:rsidRPr="000B4B58">
        <w:rPr>
          <w:rFonts w:ascii="Arial" w:hAnsi="Arial" w:cs="Arial"/>
          <w:color w:val="1A1A1A"/>
          <w:lang w:val="en-US"/>
        </w:rPr>
        <w:t xml:space="preserve"> can reimburse: full salary, National Insurance, leave and sickness payments and recruitment costs including advertising.</w:t>
      </w:r>
      <w:r w:rsidR="005B22F9">
        <w:rPr>
          <w:rFonts w:ascii="Arial" w:hAnsi="Arial" w:cs="Arial"/>
          <w:color w:val="1A1A1A"/>
          <w:lang w:val="en-US"/>
        </w:rPr>
        <w:t xml:space="preserve">  (AtW </w:t>
      </w:r>
      <w:r w:rsidR="00B71DD0">
        <w:rPr>
          <w:rFonts w:ascii="Arial" w:hAnsi="Arial" w:cs="Arial"/>
          <w:color w:val="1A1A1A"/>
          <w:lang w:val="en-US"/>
        </w:rPr>
        <w:t>351</w:t>
      </w:r>
      <w:r w:rsidR="006779F8">
        <w:rPr>
          <w:rFonts w:ascii="Arial" w:hAnsi="Arial" w:cs="Arial"/>
          <w:color w:val="1A1A1A"/>
          <w:lang w:val="en-US"/>
        </w:rPr>
        <w:t>, 561</w:t>
      </w:r>
      <w:r w:rsidR="00B71DD0">
        <w:rPr>
          <w:rFonts w:ascii="Arial" w:hAnsi="Arial" w:cs="Arial"/>
          <w:color w:val="1A1A1A"/>
          <w:lang w:val="en-US"/>
        </w:rPr>
        <w:t>)</w:t>
      </w:r>
      <w:r w:rsidRPr="000B4B58">
        <w:rPr>
          <w:rFonts w:ascii="Arial" w:hAnsi="Arial" w:cs="Arial"/>
          <w:color w:val="1A1A1A"/>
          <w:lang w:val="en-US"/>
        </w:rPr>
        <w:t xml:space="preserve"> </w:t>
      </w:r>
    </w:p>
    <w:p w14:paraId="01F3E40B" w14:textId="77777777" w:rsidR="000405A6" w:rsidRDefault="000405A6" w:rsidP="000405A6">
      <w:pPr>
        <w:rPr>
          <w:rFonts w:ascii="Arial" w:hAnsi="Arial" w:cs="Arial"/>
          <w:color w:val="1A1A1A"/>
          <w:lang w:val="en-US"/>
        </w:rPr>
      </w:pPr>
    </w:p>
    <w:p w14:paraId="04802216" w14:textId="6AD29166" w:rsidR="000405A6" w:rsidRDefault="000405A6" w:rsidP="000405A6">
      <w:pPr>
        <w:rPr>
          <w:rFonts w:ascii="Arial" w:hAnsi="Arial" w:cs="Arial"/>
          <w:color w:val="1A1A1A"/>
          <w:lang w:val="en-US"/>
        </w:rPr>
      </w:pPr>
      <w:r w:rsidRPr="000B4B58">
        <w:rPr>
          <w:rFonts w:ascii="Arial" w:hAnsi="Arial" w:cs="Arial"/>
          <w:color w:val="1A1A1A"/>
          <w:lang w:val="en-US"/>
        </w:rPr>
        <w:t xml:space="preserve">If requested by the employer, AtW can also pay management costs up to 5% of the SW’s gross salary, to cover the cost of adding </w:t>
      </w:r>
      <w:r>
        <w:rPr>
          <w:rFonts w:ascii="Arial" w:hAnsi="Arial" w:cs="Arial"/>
          <w:color w:val="1A1A1A"/>
          <w:lang w:val="en-US"/>
        </w:rPr>
        <w:t>a</w:t>
      </w:r>
      <w:r w:rsidRPr="000B4B58">
        <w:rPr>
          <w:rFonts w:ascii="Arial" w:hAnsi="Arial" w:cs="Arial"/>
          <w:color w:val="1A1A1A"/>
          <w:lang w:val="en-US"/>
        </w:rPr>
        <w:t xml:space="preserve"> new employee to the payroll and any other HR activities. Where an employer provides evidence to show that they have had to pay an amount greater than this percentage, AtW will reimburse the full cost. </w:t>
      </w:r>
      <w:r w:rsidR="00EB3A15">
        <w:rPr>
          <w:rFonts w:ascii="Arial" w:hAnsi="Arial" w:cs="Arial"/>
          <w:color w:val="1A1A1A"/>
          <w:lang w:val="en-US"/>
        </w:rPr>
        <w:t xml:space="preserve"> (AtW 352</w:t>
      </w:r>
      <w:r w:rsidR="00B83B87">
        <w:rPr>
          <w:rFonts w:ascii="Arial" w:hAnsi="Arial" w:cs="Arial"/>
          <w:color w:val="1A1A1A"/>
          <w:lang w:val="en-US"/>
        </w:rPr>
        <w:t>, 561</w:t>
      </w:r>
      <w:r w:rsidR="00EB3A15">
        <w:rPr>
          <w:rFonts w:ascii="Arial" w:hAnsi="Arial" w:cs="Arial"/>
          <w:color w:val="1A1A1A"/>
          <w:lang w:val="en-US"/>
        </w:rPr>
        <w:t>)</w:t>
      </w:r>
    </w:p>
    <w:p w14:paraId="42A8604A" w14:textId="77777777" w:rsidR="000405A6" w:rsidRPr="000B4B58" w:rsidRDefault="000405A6" w:rsidP="000405A6">
      <w:pPr>
        <w:rPr>
          <w:rFonts w:ascii="Arial" w:hAnsi="Arial" w:cs="Arial"/>
          <w:color w:val="1A1A1A"/>
          <w:lang w:val="en-US"/>
        </w:rPr>
      </w:pPr>
    </w:p>
    <w:p w14:paraId="5082CD7D" w14:textId="38686D1F" w:rsidR="000405A6" w:rsidRPr="000B4B58" w:rsidRDefault="000405A6" w:rsidP="000405A6">
      <w:pPr>
        <w:rPr>
          <w:rFonts w:ascii="Arial" w:hAnsi="Arial" w:cs="Arial"/>
          <w:color w:val="1A1A1A"/>
          <w:lang w:val="en-US"/>
        </w:rPr>
      </w:pPr>
      <w:r>
        <w:rPr>
          <w:rFonts w:ascii="Arial" w:hAnsi="Arial" w:cs="Arial"/>
          <w:color w:val="1A1A1A"/>
          <w:lang w:val="en-US"/>
        </w:rPr>
        <w:t>They</w:t>
      </w:r>
      <w:r w:rsidRPr="000B4B58">
        <w:rPr>
          <w:rFonts w:ascii="Arial" w:hAnsi="Arial" w:cs="Arial"/>
          <w:color w:val="1A1A1A"/>
          <w:lang w:val="en-US"/>
        </w:rPr>
        <w:t xml:space="preserve"> will </w:t>
      </w:r>
      <w:r>
        <w:rPr>
          <w:rFonts w:ascii="Arial" w:hAnsi="Arial" w:cs="Arial"/>
          <w:color w:val="1A1A1A"/>
          <w:lang w:val="en-US"/>
        </w:rPr>
        <w:t xml:space="preserve">also </w:t>
      </w:r>
      <w:r w:rsidRPr="000B4B58">
        <w:rPr>
          <w:rFonts w:ascii="Arial" w:hAnsi="Arial" w:cs="Arial"/>
          <w:color w:val="1A1A1A"/>
          <w:lang w:val="en-US"/>
        </w:rPr>
        <w:t xml:space="preserve">need to agree a fixed period </w:t>
      </w:r>
      <w:r>
        <w:rPr>
          <w:rFonts w:ascii="Arial" w:hAnsi="Arial" w:cs="Arial"/>
          <w:color w:val="1A1A1A"/>
          <w:lang w:val="en-US"/>
        </w:rPr>
        <w:t>of pay</w:t>
      </w:r>
      <w:r w:rsidRPr="000B4B58">
        <w:rPr>
          <w:rFonts w:ascii="Arial" w:hAnsi="Arial" w:cs="Arial"/>
          <w:color w:val="1A1A1A"/>
          <w:lang w:val="en-US"/>
        </w:rPr>
        <w:t xml:space="preserve"> to cover unexpected absences such as sick leave. It is usual to agree to pay for the SW </w:t>
      </w:r>
      <w:r>
        <w:rPr>
          <w:rFonts w:ascii="Arial" w:hAnsi="Arial" w:cs="Arial"/>
          <w:color w:val="1A1A1A"/>
          <w:lang w:val="en-US"/>
        </w:rPr>
        <w:t>(</w:t>
      </w:r>
      <w:r w:rsidRPr="000B4B58">
        <w:rPr>
          <w:rFonts w:ascii="Arial" w:hAnsi="Arial" w:cs="Arial"/>
          <w:color w:val="1A1A1A"/>
          <w:lang w:val="en-US"/>
        </w:rPr>
        <w:t xml:space="preserve">if they or the customer </w:t>
      </w:r>
      <w:r>
        <w:rPr>
          <w:rFonts w:ascii="Arial" w:hAnsi="Arial" w:cs="Arial"/>
          <w:color w:val="1A1A1A"/>
          <w:lang w:val="en-US"/>
        </w:rPr>
        <w:t>is</w:t>
      </w:r>
      <w:r w:rsidRPr="000B4B58">
        <w:rPr>
          <w:rFonts w:ascii="Arial" w:hAnsi="Arial" w:cs="Arial"/>
          <w:color w:val="1A1A1A"/>
          <w:lang w:val="en-US"/>
        </w:rPr>
        <w:t xml:space="preserve"> sick</w:t>
      </w:r>
      <w:r>
        <w:rPr>
          <w:rFonts w:ascii="Arial" w:hAnsi="Arial" w:cs="Arial"/>
          <w:color w:val="1A1A1A"/>
          <w:lang w:val="en-US"/>
        </w:rPr>
        <w:t>)</w:t>
      </w:r>
      <w:r w:rsidRPr="000B4B58">
        <w:rPr>
          <w:rFonts w:ascii="Arial" w:hAnsi="Arial" w:cs="Arial"/>
          <w:color w:val="1A1A1A"/>
          <w:lang w:val="en-US"/>
        </w:rPr>
        <w:t>, for up to 4 weeks.</w:t>
      </w:r>
      <w:r w:rsidR="008620A0">
        <w:rPr>
          <w:rFonts w:ascii="Arial" w:hAnsi="Arial" w:cs="Arial"/>
          <w:color w:val="1A1A1A"/>
          <w:lang w:val="en-US"/>
        </w:rPr>
        <w:t xml:space="preserve">  (AtW 354</w:t>
      </w:r>
      <w:r w:rsidR="003D12B1">
        <w:rPr>
          <w:rFonts w:ascii="Arial" w:hAnsi="Arial" w:cs="Arial"/>
          <w:color w:val="1A1A1A"/>
          <w:lang w:val="en-US"/>
        </w:rPr>
        <w:t>, 364, 365, 366</w:t>
      </w:r>
      <w:r w:rsidR="008620A0">
        <w:rPr>
          <w:rFonts w:ascii="Arial" w:hAnsi="Arial" w:cs="Arial"/>
          <w:color w:val="1A1A1A"/>
          <w:lang w:val="en-US"/>
        </w:rPr>
        <w:t>)</w:t>
      </w:r>
    </w:p>
    <w:p w14:paraId="4512246E" w14:textId="77777777" w:rsidR="000405A6" w:rsidRDefault="000405A6" w:rsidP="000405A6">
      <w:pPr>
        <w:rPr>
          <w:rFonts w:ascii="Arial" w:hAnsi="Arial" w:cs="Arial"/>
          <w:color w:val="1A1A1A"/>
          <w:lang w:val="en-US"/>
        </w:rPr>
      </w:pPr>
    </w:p>
    <w:p w14:paraId="640C58A4" w14:textId="7BC6C5C3" w:rsidR="000405A6" w:rsidRPr="00627E72" w:rsidRDefault="000405A6" w:rsidP="000405A6">
      <w:pPr>
        <w:pStyle w:val="ListNumber"/>
        <w:numPr>
          <w:ilvl w:val="0"/>
          <w:numId w:val="0"/>
        </w:numPr>
        <w:rPr>
          <w:rFonts w:eastAsiaTheme="minorEastAsia" w:cs="Arial"/>
          <w:color w:val="1A1A1A"/>
          <w:lang w:val="en-US" w:eastAsia="ja-JP"/>
        </w:rPr>
      </w:pPr>
      <w:r w:rsidRPr="00627E72">
        <w:rPr>
          <w:rFonts w:eastAsiaTheme="minorEastAsia" w:cs="Arial"/>
          <w:color w:val="1A1A1A"/>
          <w:lang w:val="en-US" w:eastAsia="ja-JP"/>
        </w:rPr>
        <w:t xml:space="preserve">Support Workers and customers should not be expected to align their leave dates </w:t>
      </w:r>
      <w:r>
        <w:rPr>
          <w:rFonts w:eastAsiaTheme="minorEastAsia" w:cs="Arial"/>
          <w:color w:val="1A1A1A"/>
          <w:lang w:val="en-US" w:eastAsia="ja-JP"/>
        </w:rPr>
        <w:t xml:space="preserve">(AtW </w:t>
      </w:r>
      <w:r w:rsidR="002E6CCF">
        <w:rPr>
          <w:rFonts w:eastAsiaTheme="minorEastAsia" w:cs="Arial"/>
          <w:color w:val="1A1A1A"/>
          <w:lang w:val="en-US" w:eastAsia="ja-JP"/>
        </w:rPr>
        <w:t>560</w:t>
      </w:r>
      <w:r w:rsidRPr="00AB37F7">
        <w:rPr>
          <w:rFonts w:eastAsiaTheme="minorEastAsia" w:cs="Arial"/>
          <w:color w:val="1A1A1A"/>
          <w:lang w:val="en-US" w:eastAsia="ja-JP"/>
        </w:rPr>
        <w:t>)</w:t>
      </w:r>
    </w:p>
    <w:p w14:paraId="48B16CC3" w14:textId="77777777" w:rsidR="000405A6" w:rsidRDefault="000405A6" w:rsidP="000405A6">
      <w:pPr>
        <w:rPr>
          <w:rFonts w:ascii="Arial" w:hAnsi="Arial" w:cs="Arial"/>
          <w:color w:val="1A1A1A"/>
          <w:lang w:val="en-US"/>
        </w:rPr>
      </w:pPr>
    </w:p>
    <w:p w14:paraId="59A63EDE" w14:textId="54DCA0CD" w:rsidR="000405A6" w:rsidRPr="00886B9F" w:rsidRDefault="000405A6" w:rsidP="000405A6">
      <w:pPr>
        <w:pStyle w:val="ListNumber"/>
        <w:numPr>
          <w:ilvl w:val="0"/>
          <w:numId w:val="0"/>
        </w:numPr>
        <w:rPr>
          <w:rFonts w:eastAsiaTheme="minorEastAsia" w:cs="Arial"/>
          <w:color w:val="1A1A1A"/>
          <w:lang w:val="en-US" w:eastAsia="ja-JP"/>
        </w:rPr>
      </w:pPr>
      <w:r w:rsidRPr="00886B9F">
        <w:rPr>
          <w:rFonts w:eastAsiaTheme="minorEastAsia" w:cs="Arial"/>
          <w:color w:val="1A1A1A"/>
          <w:lang w:val="en-US" w:eastAsia="ja-JP"/>
        </w:rPr>
        <w:t xml:space="preserve">If the employee is providing </w:t>
      </w:r>
      <w:r>
        <w:rPr>
          <w:rFonts w:eastAsiaTheme="minorEastAsia" w:cs="Arial"/>
          <w:color w:val="1A1A1A"/>
          <w:lang w:val="en-US" w:eastAsia="ja-JP"/>
        </w:rPr>
        <w:t xml:space="preserve">full time support, the </w:t>
      </w:r>
      <w:r w:rsidRPr="00886B9F">
        <w:rPr>
          <w:rFonts w:eastAsiaTheme="minorEastAsia" w:cs="Arial"/>
          <w:color w:val="1A1A1A"/>
          <w:lang w:val="en-US" w:eastAsia="ja-JP"/>
        </w:rPr>
        <w:t xml:space="preserve">cost AtW </w:t>
      </w:r>
      <w:r>
        <w:rPr>
          <w:rFonts w:eastAsiaTheme="minorEastAsia" w:cs="Arial"/>
          <w:color w:val="1A1A1A"/>
          <w:lang w:val="en-US" w:eastAsia="ja-JP"/>
        </w:rPr>
        <w:t xml:space="preserve">say they will cover </w:t>
      </w:r>
      <w:r w:rsidRPr="00886B9F">
        <w:rPr>
          <w:rFonts w:eastAsiaTheme="minorEastAsia" w:cs="Arial"/>
          <w:color w:val="1A1A1A"/>
          <w:lang w:val="en-US" w:eastAsia="ja-JP"/>
        </w:rPr>
        <w:t xml:space="preserve">will be the </w:t>
      </w:r>
      <w:r w:rsidRPr="00976FF8">
        <w:rPr>
          <w:rFonts w:eastAsiaTheme="minorEastAsia" w:cs="Arial"/>
          <w:color w:val="1A1A1A"/>
          <w:u w:val="single"/>
          <w:lang w:val="en-US" w:eastAsia="ja-JP"/>
        </w:rPr>
        <w:t xml:space="preserve">full salary costs including </w:t>
      </w:r>
      <w:r>
        <w:rPr>
          <w:rFonts w:eastAsiaTheme="minorEastAsia" w:cs="Arial"/>
          <w:color w:val="1A1A1A"/>
          <w:u w:val="single"/>
          <w:lang w:val="en-US" w:eastAsia="ja-JP"/>
        </w:rPr>
        <w:t xml:space="preserve">Employers’ </w:t>
      </w:r>
      <w:r w:rsidRPr="00976FF8">
        <w:rPr>
          <w:rFonts w:eastAsiaTheme="minorEastAsia" w:cs="Arial"/>
          <w:color w:val="1A1A1A"/>
          <w:u w:val="single"/>
          <w:lang w:val="en-US" w:eastAsia="ja-JP"/>
        </w:rPr>
        <w:t>and pension contributions</w:t>
      </w:r>
      <w:r w:rsidRPr="00886B9F">
        <w:rPr>
          <w:rFonts w:eastAsiaTheme="minorEastAsia" w:cs="Arial"/>
          <w:color w:val="1A1A1A"/>
          <w:lang w:val="en-US" w:eastAsia="ja-JP"/>
        </w:rPr>
        <w:t>, providing this is no more expensive than employing an external support worker.</w:t>
      </w:r>
      <w:r>
        <w:rPr>
          <w:rFonts w:eastAsiaTheme="minorEastAsia" w:cs="Arial"/>
          <w:color w:val="1A1A1A"/>
          <w:lang w:val="en-US" w:eastAsia="ja-JP"/>
        </w:rPr>
        <w:t xml:space="preserve">  (At</w:t>
      </w:r>
      <w:r w:rsidRPr="00886B9F">
        <w:rPr>
          <w:rFonts w:eastAsiaTheme="minorEastAsia" w:cs="Arial"/>
          <w:color w:val="1A1A1A"/>
          <w:lang w:val="en-US" w:eastAsia="ja-JP"/>
        </w:rPr>
        <w:t xml:space="preserve">W </w:t>
      </w:r>
      <w:r w:rsidR="003C3AB2">
        <w:rPr>
          <w:rFonts w:eastAsiaTheme="minorEastAsia" w:cs="Arial"/>
          <w:color w:val="1A1A1A"/>
          <w:lang w:val="en-US" w:eastAsia="ja-JP"/>
        </w:rPr>
        <w:t>61</w:t>
      </w:r>
      <w:r w:rsidR="003C3AB2" w:rsidRPr="00B6703F">
        <w:rPr>
          <w:rFonts w:eastAsiaTheme="minorEastAsia" w:cs="Arial"/>
          <w:color w:val="1A1A1A"/>
          <w:lang w:val="en-US" w:eastAsia="ja-JP"/>
        </w:rPr>
        <w:t>9</w:t>
      </w:r>
      <w:r w:rsidRPr="00B6703F">
        <w:rPr>
          <w:rFonts w:eastAsiaTheme="minorEastAsia" w:cs="Arial"/>
          <w:color w:val="1A1A1A"/>
          <w:lang w:val="en-US" w:eastAsia="ja-JP"/>
        </w:rPr>
        <w:t>)</w:t>
      </w:r>
    </w:p>
    <w:p w14:paraId="59C6B62B" w14:textId="77777777" w:rsidR="000405A6" w:rsidRDefault="000405A6" w:rsidP="000405A6">
      <w:pPr>
        <w:rPr>
          <w:rFonts w:ascii="Arial" w:hAnsi="Arial" w:cs="Arial"/>
          <w:color w:val="1A1A1A"/>
          <w:lang w:val="en-US"/>
        </w:rPr>
      </w:pPr>
    </w:p>
    <w:p w14:paraId="23BFF561" w14:textId="5AF91044" w:rsidR="00A74FC6" w:rsidRDefault="00A74FC6" w:rsidP="000405A6">
      <w:pPr>
        <w:rPr>
          <w:rFonts w:ascii="Arial" w:hAnsi="Arial" w:cs="Arial"/>
          <w:color w:val="1A1A1A"/>
          <w:lang w:val="en-US"/>
        </w:rPr>
      </w:pPr>
      <w:r>
        <w:rPr>
          <w:rFonts w:ascii="Arial" w:hAnsi="Arial" w:cs="Arial"/>
          <w:color w:val="1A1A1A"/>
          <w:lang w:val="en-US"/>
        </w:rPr>
        <w:t xml:space="preserve">AtW can also pay redundancy and notice costs, but as these are only paid if needed, they are not included in the AtW budget.  (AtW 353) </w:t>
      </w:r>
    </w:p>
    <w:p w14:paraId="16353DDE" w14:textId="77777777" w:rsidR="00A74FC6" w:rsidRDefault="00A74FC6" w:rsidP="000405A6">
      <w:pPr>
        <w:rPr>
          <w:rFonts w:ascii="Arial" w:hAnsi="Arial" w:cs="Arial"/>
          <w:color w:val="1A1A1A"/>
          <w:lang w:val="en-US"/>
        </w:rPr>
      </w:pPr>
    </w:p>
    <w:p w14:paraId="6C213FF2" w14:textId="6AEBD010" w:rsidR="00353434" w:rsidRDefault="00353434" w:rsidP="000405A6">
      <w:pPr>
        <w:rPr>
          <w:rFonts w:ascii="Arial" w:hAnsi="Arial" w:cs="Arial"/>
          <w:color w:val="1A1A1A"/>
          <w:lang w:val="en-US"/>
        </w:rPr>
      </w:pPr>
      <w:r>
        <w:rPr>
          <w:rFonts w:ascii="Arial" w:hAnsi="Arial" w:cs="Arial"/>
          <w:color w:val="1A1A1A"/>
          <w:lang w:val="en-US"/>
        </w:rPr>
        <w:t>If the Deaf person is self-employed</w:t>
      </w:r>
      <w:r w:rsidR="00300CAD">
        <w:rPr>
          <w:rFonts w:ascii="Arial" w:hAnsi="Arial" w:cs="Arial"/>
          <w:color w:val="1A1A1A"/>
          <w:lang w:val="en-US"/>
        </w:rPr>
        <w:t xml:space="preserve"> AtW can pay for any additional costs in employing someone.  (AtW 562)</w:t>
      </w:r>
    </w:p>
    <w:p w14:paraId="529F2551" w14:textId="77777777" w:rsidR="00353434" w:rsidRDefault="00353434" w:rsidP="000405A6">
      <w:pPr>
        <w:rPr>
          <w:rFonts w:ascii="Arial" w:hAnsi="Arial" w:cs="Arial"/>
          <w:color w:val="1A1A1A"/>
          <w:lang w:val="en-US"/>
        </w:rPr>
      </w:pPr>
    </w:p>
    <w:p w14:paraId="17706D6B" w14:textId="3D0B0146" w:rsidR="0040599B" w:rsidRDefault="000405A6" w:rsidP="004F2708">
      <w:pPr>
        <w:widowControl w:val="0"/>
        <w:autoSpaceDE w:val="0"/>
        <w:autoSpaceDN w:val="0"/>
        <w:adjustRightInd w:val="0"/>
        <w:rPr>
          <w:rFonts w:ascii="Arial" w:hAnsi="Arial" w:cs="Arial"/>
          <w:color w:val="1A1A1A"/>
          <w:lang w:val="en-US"/>
        </w:rPr>
      </w:pPr>
      <w:r w:rsidRPr="003C086F">
        <w:rPr>
          <w:rFonts w:ascii="Arial" w:hAnsi="Arial" w:cs="Arial"/>
          <w:color w:val="1A1A1A"/>
          <w:lang w:val="en-US"/>
        </w:rPr>
        <w:t xml:space="preserve">(AtW </w:t>
      </w:r>
      <w:r w:rsidR="00E12B57">
        <w:rPr>
          <w:rFonts w:ascii="Arial" w:hAnsi="Arial" w:cs="Arial"/>
          <w:color w:val="1A1A1A"/>
          <w:lang w:val="en-US"/>
        </w:rPr>
        <w:t>31</w:t>
      </w:r>
      <w:r w:rsidR="00B27085">
        <w:rPr>
          <w:rFonts w:ascii="Arial" w:hAnsi="Arial" w:cs="Arial"/>
          <w:color w:val="1A1A1A"/>
          <w:lang w:val="en-US"/>
        </w:rPr>
        <w:t>0</w:t>
      </w:r>
      <w:r w:rsidR="00833160">
        <w:rPr>
          <w:rFonts w:ascii="Arial" w:hAnsi="Arial" w:cs="Arial"/>
          <w:color w:val="1A1A1A"/>
          <w:lang w:val="en-US"/>
        </w:rPr>
        <w:t>, 351-</w:t>
      </w:r>
      <w:r w:rsidR="00EB5B1A">
        <w:rPr>
          <w:rFonts w:ascii="Arial" w:hAnsi="Arial" w:cs="Arial"/>
          <w:color w:val="1A1A1A"/>
          <w:lang w:val="en-US"/>
        </w:rPr>
        <w:t xml:space="preserve">354, </w:t>
      </w:r>
      <w:r w:rsidR="00833160">
        <w:rPr>
          <w:rFonts w:ascii="Arial" w:hAnsi="Arial" w:cs="Arial"/>
          <w:color w:val="1A1A1A"/>
          <w:lang w:val="en-US"/>
        </w:rPr>
        <w:t>363-</w:t>
      </w:r>
      <w:r w:rsidR="0026549A">
        <w:rPr>
          <w:rFonts w:ascii="Arial" w:hAnsi="Arial" w:cs="Arial"/>
          <w:color w:val="1A1A1A"/>
          <w:lang w:val="en-US"/>
        </w:rPr>
        <w:t>367</w:t>
      </w:r>
      <w:r w:rsidR="00833160">
        <w:rPr>
          <w:rFonts w:ascii="Arial" w:hAnsi="Arial" w:cs="Arial"/>
          <w:color w:val="1A1A1A"/>
          <w:lang w:val="en-US"/>
        </w:rPr>
        <w:t xml:space="preserve">, 558, 559-562, </w:t>
      </w:r>
      <w:r>
        <w:rPr>
          <w:rFonts w:ascii="Arial" w:hAnsi="Arial" w:cs="Arial"/>
          <w:color w:val="1A1A1A"/>
          <w:lang w:val="en-US"/>
        </w:rPr>
        <w:t xml:space="preserve">also </w:t>
      </w:r>
      <w:r w:rsidRPr="00111337">
        <w:rPr>
          <w:rFonts w:ascii="Arial" w:hAnsi="Arial" w:cs="Arial"/>
          <w:b/>
          <w:color w:val="1A1A1A"/>
          <w:lang w:val="en-US"/>
        </w:rPr>
        <w:t>see attached spreadsheet</w:t>
      </w:r>
      <w:r>
        <w:rPr>
          <w:rFonts w:ascii="Arial" w:hAnsi="Arial" w:cs="Arial"/>
          <w:color w:val="1A1A1A"/>
          <w:lang w:val="en-US"/>
        </w:rPr>
        <w:t xml:space="preserve"> showing staff interpreter will full on costs, and comparing with freelance interpreter costs</w:t>
      </w:r>
      <w:r w:rsidRPr="003C086F">
        <w:rPr>
          <w:rFonts w:ascii="Arial" w:hAnsi="Arial" w:cs="Arial"/>
          <w:color w:val="1A1A1A"/>
          <w:lang w:val="en-US"/>
        </w:rPr>
        <w:t>)</w:t>
      </w:r>
      <w:r>
        <w:rPr>
          <w:rFonts w:ascii="Arial" w:hAnsi="Arial" w:cs="Arial"/>
          <w:color w:val="1A1A1A"/>
          <w:lang w:val="en-US"/>
        </w:rPr>
        <w:t>.</w:t>
      </w:r>
      <w:bookmarkStart w:id="4" w:name="_Toc245806808"/>
    </w:p>
    <w:p w14:paraId="613B2A15" w14:textId="77777777" w:rsidR="004F2708" w:rsidRDefault="004F2708" w:rsidP="004F2708">
      <w:pPr>
        <w:widowControl w:val="0"/>
        <w:autoSpaceDE w:val="0"/>
        <w:autoSpaceDN w:val="0"/>
        <w:adjustRightInd w:val="0"/>
        <w:rPr>
          <w:rStyle w:val="Emphasis"/>
          <w:rFonts w:ascii="Arial" w:hAnsi="Arial" w:cs="Arial"/>
          <w:i w:val="0"/>
          <w:iCs w:val="0"/>
          <w:color w:val="1A1A1A"/>
          <w:lang w:val="en-US"/>
        </w:rPr>
      </w:pPr>
    </w:p>
    <w:p w14:paraId="2492B429" w14:textId="19F6C8FD" w:rsidR="00906C19" w:rsidRDefault="00906C19" w:rsidP="00906C19">
      <w:pPr>
        <w:pStyle w:val="Heading4"/>
      </w:pPr>
      <w:r>
        <w:t>Informing you of their decision</w:t>
      </w:r>
    </w:p>
    <w:p w14:paraId="7481285F" w14:textId="77777777" w:rsidR="00906C19" w:rsidRDefault="00906C19" w:rsidP="00906C19"/>
    <w:p w14:paraId="2B894AC8" w14:textId="6D621AC4" w:rsidR="00906C19" w:rsidRPr="00CD2555" w:rsidRDefault="00906C19" w:rsidP="00CD2555">
      <w:pPr>
        <w:widowControl w:val="0"/>
        <w:autoSpaceDE w:val="0"/>
        <w:autoSpaceDN w:val="0"/>
        <w:adjustRightInd w:val="0"/>
        <w:rPr>
          <w:rFonts w:ascii="Arial" w:hAnsi="Arial" w:cs="Arial"/>
          <w:color w:val="1A1A1A"/>
          <w:lang w:val="en-US"/>
        </w:rPr>
      </w:pPr>
      <w:r>
        <w:t xml:space="preserve">When AtW inform you of their decision, they should use the DiSC3 letter, and should tell you about the calculation of the award.  </w:t>
      </w:r>
      <w:r>
        <w:rPr>
          <w:rStyle w:val="Emphasis"/>
          <w:rFonts w:ascii="Arial" w:hAnsi="Arial" w:cs="Arial"/>
          <w:i w:val="0"/>
          <w:iCs w:val="0"/>
          <w:color w:val="1A1A1A"/>
          <w:lang w:val="en-US"/>
        </w:rPr>
        <w:t>(AtW 595)</w:t>
      </w:r>
    </w:p>
    <w:p w14:paraId="4D06AF53" w14:textId="77777777" w:rsidR="00906C19" w:rsidRPr="00906C19" w:rsidRDefault="00906C19" w:rsidP="00906C19"/>
    <w:p w14:paraId="4D689A37" w14:textId="4A2804CF" w:rsidR="000405A6" w:rsidRPr="0040599B" w:rsidRDefault="000405A6" w:rsidP="000405A6">
      <w:pPr>
        <w:pStyle w:val="Heading3"/>
        <w:rPr>
          <w:rStyle w:val="Emphasis"/>
          <w:i w:val="0"/>
        </w:rPr>
      </w:pPr>
      <w:r w:rsidRPr="00CE797D">
        <w:rPr>
          <w:rStyle w:val="Emphasis"/>
          <w:i w:val="0"/>
        </w:rPr>
        <w:t>AtW Guidance and paying cancellation charges</w:t>
      </w:r>
      <w:bookmarkEnd w:id="4"/>
    </w:p>
    <w:p w14:paraId="40F109E5" w14:textId="77777777" w:rsidR="000405A6" w:rsidRDefault="000405A6" w:rsidP="000405A6">
      <w:pPr>
        <w:rPr>
          <w:rFonts w:ascii="Arial" w:hAnsi="Arial" w:cs="Arial"/>
          <w:b/>
          <w:color w:val="1A1A1A"/>
          <w:u w:val="single"/>
          <w:lang w:val="en-US"/>
        </w:rPr>
      </w:pPr>
    </w:p>
    <w:p w14:paraId="7A156ED4" w14:textId="14E74025" w:rsidR="000405A6" w:rsidRDefault="000405A6" w:rsidP="000405A6">
      <w:pPr>
        <w:rPr>
          <w:rFonts w:ascii="Arial" w:hAnsi="Arial" w:cs="Arial"/>
          <w:color w:val="1A1A1A"/>
          <w:lang w:val="en-US"/>
        </w:rPr>
      </w:pPr>
      <w:r w:rsidRPr="00FE5838">
        <w:rPr>
          <w:rFonts w:ascii="Arial" w:hAnsi="Arial" w:cs="Arial"/>
          <w:color w:val="1A1A1A"/>
          <w:lang w:val="en-US"/>
        </w:rPr>
        <w:t xml:space="preserve">AtW Guidance v </w:t>
      </w:r>
      <w:r w:rsidR="00825947">
        <w:rPr>
          <w:rFonts w:ascii="Arial" w:hAnsi="Arial" w:cs="Arial"/>
          <w:color w:val="1A1A1A"/>
          <w:lang w:val="en-US"/>
        </w:rPr>
        <w:t>20</w:t>
      </w:r>
      <w:r w:rsidRPr="00FE5838">
        <w:rPr>
          <w:rFonts w:ascii="Arial" w:hAnsi="Arial" w:cs="Arial"/>
          <w:color w:val="1A1A1A"/>
          <w:lang w:val="en-US"/>
        </w:rPr>
        <w:t xml:space="preserve"> says that </w:t>
      </w:r>
      <w:r>
        <w:rPr>
          <w:rFonts w:ascii="Arial" w:hAnsi="Arial" w:cs="Arial"/>
          <w:color w:val="1A1A1A"/>
          <w:lang w:val="en-US"/>
        </w:rPr>
        <w:t>if there is</w:t>
      </w:r>
      <w:r w:rsidRPr="00061FC8">
        <w:rPr>
          <w:rFonts w:ascii="Arial" w:hAnsi="Arial" w:cs="Arial"/>
          <w:color w:val="1A1A1A"/>
          <w:lang w:val="en-US"/>
        </w:rPr>
        <w:t xml:space="preserve"> a claim fr</w:t>
      </w:r>
      <w:r>
        <w:rPr>
          <w:rFonts w:ascii="Arial" w:hAnsi="Arial" w:cs="Arial"/>
          <w:color w:val="1A1A1A"/>
          <w:lang w:val="en-US"/>
        </w:rPr>
        <w:t xml:space="preserve">om a SW for a cancellation fee, they </w:t>
      </w:r>
      <w:r w:rsidRPr="00061FC8">
        <w:rPr>
          <w:rFonts w:ascii="Arial" w:hAnsi="Arial" w:cs="Arial"/>
          <w:color w:val="1A1A1A"/>
          <w:lang w:val="en-US"/>
        </w:rPr>
        <w:t xml:space="preserve">can be considered if the cancellation of the required support is unavoidable and not </w:t>
      </w:r>
      <w:r>
        <w:rPr>
          <w:rFonts w:ascii="Arial" w:hAnsi="Arial" w:cs="Arial"/>
          <w:color w:val="1A1A1A"/>
          <w:lang w:val="en-US"/>
        </w:rPr>
        <w:t xml:space="preserve">the SW or employers fault.  For example, if the Deaf person is ill and has to cancel the SW at short notice </w:t>
      </w:r>
      <w:r w:rsidRPr="008D2679">
        <w:rPr>
          <w:rFonts w:ascii="Arial" w:hAnsi="Arial" w:cs="Arial"/>
          <w:color w:val="1A1A1A"/>
          <w:lang w:val="en-US"/>
        </w:rPr>
        <w:t>(</w:t>
      </w:r>
      <w:r w:rsidR="008D2679" w:rsidRPr="008D2679">
        <w:rPr>
          <w:rFonts w:ascii="Arial" w:hAnsi="Arial" w:cs="Arial"/>
          <w:color w:val="1A1A1A"/>
          <w:lang w:val="en-US"/>
        </w:rPr>
        <w:t>AtW 374, 375</w:t>
      </w:r>
      <w:r w:rsidRPr="008D2679">
        <w:rPr>
          <w:rFonts w:ascii="Arial" w:hAnsi="Arial" w:cs="Arial"/>
          <w:color w:val="1A1A1A"/>
          <w:lang w:val="en-US"/>
        </w:rPr>
        <w:t>).</w:t>
      </w:r>
    </w:p>
    <w:p w14:paraId="1627ED49" w14:textId="77777777" w:rsidR="008F32F5" w:rsidRDefault="008F32F5" w:rsidP="000405A6">
      <w:pPr>
        <w:rPr>
          <w:rFonts w:ascii="Arial" w:hAnsi="Arial" w:cs="Arial"/>
          <w:color w:val="1A1A1A"/>
          <w:lang w:val="en-US"/>
        </w:rPr>
      </w:pPr>
    </w:p>
    <w:p w14:paraId="2349B6A6" w14:textId="77777777" w:rsidR="000405A6" w:rsidRPr="00D75251" w:rsidRDefault="000405A6" w:rsidP="000405A6">
      <w:pPr>
        <w:pStyle w:val="Heading3"/>
      </w:pPr>
      <w:bookmarkStart w:id="5" w:name="_Toc245806809"/>
      <w:r w:rsidRPr="00D75251">
        <w:t>AtW Guidance and booking two interpreters for longer meetings</w:t>
      </w:r>
      <w:bookmarkEnd w:id="5"/>
    </w:p>
    <w:p w14:paraId="5DF0CD0E" w14:textId="77777777" w:rsidR="000405A6" w:rsidRDefault="000405A6" w:rsidP="000405A6">
      <w:pPr>
        <w:rPr>
          <w:rFonts w:ascii="Arial" w:hAnsi="Arial" w:cs="Arial"/>
          <w:b/>
          <w:color w:val="1A1A1A"/>
          <w:u w:val="single"/>
          <w:lang w:val="en-US"/>
        </w:rPr>
      </w:pPr>
    </w:p>
    <w:p w14:paraId="79F76840" w14:textId="3EEB5BD3" w:rsidR="000405A6" w:rsidRDefault="000405A6" w:rsidP="000405A6">
      <w:pPr>
        <w:rPr>
          <w:rFonts w:ascii="Arial" w:hAnsi="Arial" w:cs="Arial"/>
          <w:color w:val="1A1A1A"/>
          <w:lang w:val="en-US"/>
        </w:rPr>
      </w:pPr>
      <w:r w:rsidRPr="00FE5838">
        <w:rPr>
          <w:rFonts w:ascii="Arial" w:hAnsi="Arial" w:cs="Arial"/>
          <w:color w:val="1A1A1A"/>
          <w:lang w:val="en-US"/>
        </w:rPr>
        <w:t xml:space="preserve">AtW Guidance v </w:t>
      </w:r>
      <w:r w:rsidR="00825947">
        <w:rPr>
          <w:rFonts w:ascii="Arial" w:hAnsi="Arial" w:cs="Arial"/>
          <w:color w:val="1A1A1A"/>
          <w:lang w:val="en-US"/>
        </w:rPr>
        <w:t>20</w:t>
      </w:r>
      <w:r w:rsidRPr="00FE5838">
        <w:rPr>
          <w:rFonts w:ascii="Arial" w:hAnsi="Arial" w:cs="Arial"/>
          <w:color w:val="1A1A1A"/>
          <w:lang w:val="en-US"/>
        </w:rPr>
        <w:t xml:space="preserve"> says that</w:t>
      </w:r>
      <w:r w:rsidRPr="00D75251">
        <w:rPr>
          <w:rFonts w:ascii="Arial" w:hAnsi="Arial" w:cs="Arial"/>
          <w:color w:val="1A1A1A"/>
          <w:lang w:val="en-US"/>
        </w:rPr>
        <w:t xml:space="preserve"> Interpreters should not be expected to work for more than two hours without a break. When a customer requires continuous translation for a longer period e</w:t>
      </w:r>
      <w:r>
        <w:rPr>
          <w:rFonts w:ascii="Arial" w:hAnsi="Arial" w:cs="Arial"/>
          <w:color w:val="1A1A1A"/>
          <w:lang w:val="en-US"/>
        </w:rPr>
        <w:t>.</w:t>
      </w:r>
      <w:r w:rsidRPr="00D75251">
        <w:rPr>
          <w:rFonts w:ascii="Arial" w:hAnsi="Arial" w:cs="Arial"/>
          <w:color w:val="1A1A1A"/>
          <w:lang w:val="en-US"/>
        </w:rPr>
        <w:t>g</w:t>
      </w:r>
      <w:r>
        <w:rPr>
          <w:rFonts w:ascii="Arial" w:hAnsi="Arial" w:cs="Arial"/>
          <w:color w:val="1A1A1A"/>
          <w:lang w:val="en-US"/>
        </w:rPr>
        <w:t>.</w:t>
      </w:r>
      <w:r w:rsidRPr="00D75251">
        <w:rPr>
          <w:rFonts w:ascii="Arial" w:hAnsi="Arial" w:cs="Arial"/>
          <w:color w:val="1A1A1A"/>
          <w:lang w:val="en-US"/>
        </w:rPr>
        <w:t xml:space="preserve"> an all day meeting, the costs of two inte</w:t>
      </w:r>
      <w:r w:rsidR="009E17B6">
        <w:rPr>
          <w:rFonts w:ascii="Arial" w:hAnsi="Arial" w:cs="Arial"/>
          <w:color w:val="1A1A1A"/>
          <w:lang w:val="en-US"/>
        </w:rPr>
        <w:t xml:space="preserve">rpreters are eligible.  </w:t>
      </w:r>
      <w:bookmarkStart w:id="6" w:name="_GoBack"/>
      <w:r w:rsidR="009E17B6">
        <w:rPr>
          <w:rFonts w:ascii="Arial" w:hAnsi="Arial" w:cs="Arial"/>
          <w:color w:val="1A1A1A"/>
          <w:lang w:val="en-US"/>
        </w:rPr>
        <w:t>(AtW 559</w:t>
      </w:r>
      <w:r w:rsidRPr="00D75251">
        <w:rPr>
          <w:rFonts w:ascii="Arial" w:hAnsi="Arial" w:cs="Arial"/>
          <w:color w:val="1A1A1A"/>
          <w:lang w:val="en-US"/>
        </w:rPr>
        <w:t>)</w:t>
      </w:r>
      <w:bookmarkEnd w:id="6"/>
    </w:p>
    <w:p w14:paraId="61BC9036" w14:textId="77777777" w:rsidR="00711755" w:rsidRPr="009611B8" w:rsidRDefault="00711755" w:rsidP="000405A6">
      <w:pPr>
        <w:pStyle w:val="ListBullet"/>
        <w:numPr>
          <w:ilvl w:val="0"/>
          <w:numId w:val="0"/>
        </w:numPr>
        <w:rPr>
          <w:rFonts w:eastAsiaTheme="minorEastAsia" w:cs="Arial"/>
          <w:color w:val="1A1A1A"/>
          <w:lang w:val="en-US" w:eastAsia="ja-JP"/>
        </w:rPr>
      </w:pPr>
    </w:p>
    <w:p w14:paraId="21ACFDB1" w14:textId="77777777" w:rsidR="000405A6" w:rsidRPr="000E3B2B" w:rsidRDefault="000405A6" w:rsidP="000405A6">
      <w:pPr>
        <w:pStyle w:val="Heading3"/>
      </w:pPr>
      <w:bookmarkStart w:id="7" w:name="_Toc245806811"/>
      <w:r w:rsidRPr="000E3B2B">
        <w:t>Chan</w:t>
      </w:r>
      <w:r>
        <w:t xml:space="preserve">ges to AtW Policy </w:t>
      </w:r>
      <w:r w:rsidRPr="000E3B2B">
        <w:t>should not affect your award until your three year agreement is finished</w:t>
      </w:r>
      <w:bookmarkEnd w:id="7"/>
    </w:p>
    <w:p w14:paraId="048D35F6" w14:textId="77777777" w:rsidR="000405A6" w:rsidRDefault="000405A6" w:rsidP="000405A6">
      <w:pPr>
        <w:rPr>
          <w:rFonts w:ascii="Arial" w:hAnsi="Arial" w:cs="Arial"/>
          <w:b/>
          <w:color w:val="1A1A1A"/>
          <w:u w:val="single"/>
          <w:lang w:val="en-US"/>
        </w:rPr>
      </w:pPr>
    </w:p>
    <w:p w14:paraId="385BDCDC" w14:textId="3723AF41" w:rsidR="000405A6" w:rsidRPr="007A721D" w:rsidRDefault="000405A6" w:rsidP="000405A6">
      <w:pPr>
        <w:pStyle w:val="ListNumber"/>
        <w:numPr>
          <w:ilvl w:val="0"/>
          <w:numId w:val="0"/>
        </w:numPr>
        <w:rPr>
          <w:rFonts w:eastAsiaTheme="minorEastAsia" w:cs="Arial"/>
          <w:color w:val="1A1A1A"/>
          <w:lang w:val="en-US" w:eastAsia="ja-JP"/>
        </w:rPr>
      </w:pPr>
      <w:r w:rsidRPr="00FE5838">
        <w:rPr>
          <w:rFonts w:cs="Arial"/>
          <w:color w:val="1A1A1A"/>
          <w:lang w:val="en-US"/>
        </w:rPr>
        <w:t xml:space="preserve">AtW Guidance v </w:t>
      </w:r>
      <w:r w:rsidR="00825947">
        <w:rPr>
          <w:rFonts w:cs="Arial"/>
          <w:color w:val="1A1A1A"/>
          <w:lang w:val="en-US"/>
        </w:rPr>
        <w:t>20</w:t>
      </w:r>
      <w:r w:rsidRPr="00FE5838">
        <w:rPr>
          <w:rFonts w:cs="Arial"/>
          <w:color w:val="1A1A1A"/>
          <w:lang w:val="en-US"/>
        </w:rPr>
        <w:t xml:space="preserve"> says </w:t>
      </w:r>
      <w:r>
        <w:rPr>
          <w:rFonts w:eastAsiaTheme="minorEastAsia" w:cs="Arial"/>
          <w:color w:val="1A1A1A"/>
          <w:lang w:val="en-US" w:eastAsia="ja-JP"/>
        </w:rPr>
        <w:t>if</w:t>
      </w:r>
      <w:r w:rsidRPr="006B2580">
        <w:rPr>
          <w:rFonts w:eastAsiaTheme="minorEastAsia" w:cs="Arial"/>
          <w:color w:val="1A1A1A"/>
          <w:lang w:val="en-US" w:eastAsia="ja-JP"/>
        </w:rPr>
        <w:t xml:space="preserve"> there </w:t>
      </w:r>
      <w:r>
        <w:rPr>
          <w:rFonts w:eastAsiaTheme="minorEastAsia" w:cs="Arial"/>
          <w:color w:val="1A1A1A"/>
          <w:lang w:val="en-US" w:eastAsia="ja-JP"/>
        </w:rPr>
        <w:t>are</w:t>
      </w:r>
      <w:r w:rsidRPr="006B2580">
        <w:rPr>
          <w:rFonts w:eastAsiaTheme="minorEastAsia" w:cs="Arial"/>
          <w:color w:val="1A1A1A"/>
          <w:lang w:val="en-US" w:eastAsia="ja-JP"/>
        </w:rPr>
        <w:t xml:space="preserve"> changes to AtW policy that will have an impact on individual customer’s payments</w:t>
      </w:r>
      <w:r>
        <w:rPr>
          <w:rFonts w:eastAsiaTheme="minorEastAsia" w:cs="Arial"/>
          <w:color w:val="1A1A1A"/>
          <w:lang w:val="en-US" w:eastAsia="ja-JP"/>
        </w:rPr>
        <w:t>, unless</w:t>
      </w:r>
      <w:r w:rsidRPr="006B2580">
        <w:rPr>
          <w:rFonts w:eastAsiaTheme="minorEastAsia" w:cs="Arial"/>
          <w:color w:val="1A1A1A"/>
          <w:lang w:val="en-US" w:eastAsia="ja-JP"/>
        </w:rPr>
        <w:t xml:space="preserve"> the announcement of the new policy </w:t>
      </w:r>
      <w:r>
        <w:rPr>
          <w:rFonts w:eastAsiaTheme="minorEastAsia" w:cs="Arial"/>
          <w:color w:val="1A1A1A"/>
          <w:lang w:val="en-US" w:eastAsia="ja-JP"/>
        </w:rPr>
        <w:t xml:space="preserve">says it must be applied straight away, </w:t>
      </w:r>
      <w:r w:rsidRPr="006B2580">
        <w:rPr>
          <w:rFonts w:eastAsiaTheme="minorEastAsia" w:cs="Arial"/>
          <w:color w:val="1A1A1A"/>
          <w:lang w:val="en-US" w:eastAsia="ja-JP"/>
        </w:rPr>
        <w:t xml:space="preserve">payments to customers or their employers should not be changed until their current AtW agreement period, normally 3 years, is complete. </w:t>
      </w:r>
      <w:r>
        <w:rPr>
          <w:rFonts w:eastAsiaTheme="minorEastAsia" w:cs="Arial"/>
          <w:color w:val="1A1A1A"/>
          <w:lang w:val="en-US" w:eastAsia="ja-JP"/>
        </w:rPr>
        <w:t xml:space="preserve"> </w:t>
      </w:r>
      <w:r w:rsidRPr="00024575">
        <w:rPr>
          <w:rFonts w:eastAsiaTheme="minorEastAsia" w:cs="Arial"/>
          <w:b/>
          <w:color w:val="1A1A1A"/>
          <w:lang w:val="en-US" w:eastAsia="ja-JP"/>
        </w:rPr>
        <w:t>(AtW 6</w:t>
      </w:r>
      <w:r w:rsidR="00024575" w:rsidRPr="00024575">
        <w:rPr>
          <w:rFonts w:eastAsiaTheme="minorEastAsia" w:cs="Arial"/>
          <w:b/>
          <w:color w:val="1A1A1A"/>
          <w:lang w:val="en-US" w:eastAsia="ja-JP"/>
        </w:rPr>
        <w:t>82</w:t>
      </w:r>
      <w:r w:rsidRPr="00024575">
        <w:rPr>
          <w:rFonts w:eastAsiaTheme="minorEastAsia" w:cs="Arial"/>
          <w:b/>
          <w:color w:val="1A1A1A"/>
          <w:lang w:val="en-US" w:eastAsia="ja-JP"/>
        </w:rPr>
        <w:t>)</w:t>
      </w:r>
    </w:p>
    <w:p w14:paraId="3734AA21" w14:textId="77777777" w:rsidR="00600A6D" w:rsidRDefault="00600A6D">
      <w:pPr>
        <w:rPr>
          <w:rFonts w:ascii="Arial" w:hAnsi="Arial" w:cs="Times New Roman"/>
          <w:i/>
          <w:iCs/>
          <w:lang w:eastAsia="en-US"/>
        </w:rPr>
      </w:pPr>
    </w:p>
    <w:p w14:paraId="72288AD9" w14:textId="77777777" w:rsidR="00550B9F" w:rsidRDefault="00550B9F" w:rsidP="00C25174">
      <w:pPr>
        <w:pStyle w:val="Heading3"/>
      </w:pPr>
      <w:r>
        <w:t>AtW Guidance says AtW advisers can meet customers face to face.</w:t>
      </w:r>
    </w:p>
    <w:p w14:paraId="0E21B072" w14:textId="2E15E381" w:rsidR="00C25174" w:rsidRPr="00C50D0F" w:rsidRDefault="00C25174" w:rsidP="00C50D0F">
      <w:pPr>
        <w:pStyle w:val="Heading3"/>
        <w:rPr>
          <w:rFonts w:ascii="Arial" w:eastAsia="Times New Roman" w:hAnsi="Arial" w:cs="Arial"/>
          <w:b w:val="0"/>
          <w:bCs w:val="0"/>
          <w:color w:val="1A1A1A"/>
          <w:lang w:eastAsia="en-US"/>
        </w:rPr>
      </w:pPr>
      <w:r w:rsidRPr="00C50D0F">
        <w:rPr>
          <w:rFonts w:ascii="Arial" w:eastAsia="Times New Roman" w:hAnsi="Arial" w:cs="Arial"/>
          <w:b w:val="0"/>
          <w:bCs w:val="0"/>
          <w:color w:val="1A1A1A"/>
          <w:lang w:eastAsia="en-US"/>
        </w:rPr>
        <w:t>AtW have told some Deaf people that AtW Policy says they can’t meet customers face to face</w:t>
      </w:r>
      <w:r w:rsidR="00C50D0F" w:rsidRPr="00C50D0F">
        <w:rPr>
          <w:rFonts w:ascii="Arial" w:eastAsia="Times New Roman" w:hAnsi="Arial" w:cs="Arial"/>
          <w:b w:val="0"/>
          <w:bCs w:val="0"/>
          <w:color w:val="1A1A1A"/>
          <w:lang w:eastAsia="en-US"/>
        </w:rPr>
        <w:t xml:space="preserve">.  But </w:t>
      </w:r>
      <w:r w:rsidR="00C250D9" w:rsidRPr="00C50D0F">
        <w:rPr>
          <w:rFonts w:ascii="Arial" w:eastAsia="Times New Roman" w:hAnsi="Arial" w:cs="Arial"/>
          <w:b w:val="0"/>
          <w:color w:val="1A1A1A"/>
          <w:lang w:eastAsia="en-US"/>
        </w:rPr>
        <w:t xml:space="preserve">AtW Guidance v 20 </w:t>
      </w:r>
      <w:r w:rsidR="007D2C3A" w:rsidRPr="00C50D0F">
        <w:rPr>
          <w:rFonts w:ascii="Arial" w:eastAsia="Times New Roman" w:hAnsi="Arial" w:cs="Arial"/>
          <w:b w:val="0"/>
          <w:color w:val="1A1A1A"/>
          <w:lang w:eastAsia="en-US"/>
        </w:rPr>
        <w:t xml:space="preserve">says that the AtW adviser should consider if a visit or telephone review is required.  So face to face meetings are still in the Guidance </w:t>
      </w:r>
      <w:r w:rsidR="00C250D9" w:rsidRPr="00C50D0F">
        <w:rPr>
          <w:rFonts w:ascii="Arial" w:eastAsia="Times New Roman" w:hAnsi="Arial" w:cs="Arial"/>
          <w:b w:val="0"/>
          <w:color w:val="1A1A1A"/>
          <w:lang w:eastAsia="en-US"/>
        </w:rPr>
        <w:t xml:space="preserve">as one of the options for Reviews, 3 year, 1 year, or shorter. </w:t>
      </w:r>
      <w:r w:rsidR="00DA4C72" w:rsidRPr="00C50D0F">
        <w:rPr>
          <w:rFonts w:ascii="Arial" w:eastAsia="Times New Roman" w:hAnsi="Arial" w:cs="Arial"/>
          <w:b w:val="0"/>
          <w:color w:val="1A1A1A"/>
          <w:lang w:eastAsia="en-US"/>
        </w:rPr>
        <w:t xml:space="preserve">  (AtW </w:t>
      </w:r>
      <w:r w:rsidR="007D2C3A" w:rsidRPr="00C50D0F">
        <w:rPr>
          <w:rFonts w:ascii="Arial" w:eastAsia="Times New Roman" w:hAnsi="Arial" w:cs="Arial"/>
          <w:b w:val="0"/>
          <w:color w:val="1A1A1A"/>
          <w:lang w:eastAsia="en-US"/>
        </w:rPr>
        <w:t xml:space="preserve">645, </w:t>
      </w:r>
      <w:r w:rsidR="00DA4C72" w:rsidRPr="00C50D0F">
        <w:rPr>
          <w:rFonts w:ascii="Arial" w:eastAsia="Times New Roman" w:hAnsi="Arial" w:cs="Arial"/>
          <w:b w:val="0"/>
          <w:color w:val="1A1A1A"/>
          <w:lang w:eastAsia="en-US"/>
        </w:rPr>
        <w:t>650)</w:t>
      </w:r>
    </w:p>
    <w:p w14:paraId="5B9F5D4C" w14:textId="77777777" w:rsidR="00FA51F6" w:rsidRDefault="00FA51F6" w:rsidP="00C25174">
      <w:pPr>
        <w:rPr>
          <w:rFonts w:ascii="Arial" w:eastAsia="Times New Roman" w:hAnsi="Arial" w:cs="Arial"/>
          <w:color w:val="1A1A1A"/>
          <w:lang w:val="en-US" w:eastAsia="en-US"/>
        </w:rPr>
      </w:pPr>
    </w:p>
    <w:p w14:paraId="0BCB12AA" w14:textId="77777777" w:rsidR="00FA51F6" w:rsidRDefault="00FA51F6" w:rsidP="00C25174">
      <w:pPr>
        <w:rPr>
          <w:rFonts w:ascii="Arial" w:eastAsia="Times New Roman" w:hAnsi="Arial" w:cs="Arial"/>
          <w:color w:val="1A1A1A"/>
          <w:lang w:val="en-US" w:eastAsia="en-US"/>
        </w:rPr>
      </w:pPr>
    </w:p>
    <w:p w14:paraId="0897C65F" w14:textId="449FFFF5" w:rsidR="00FA51F6" w:rsidRPr="00FA51F6" w:rsidRDefault="00FA51F6" w:rsidP="00C25174">
      <w:pPr>
        <w:rPr>
          <w:rFonts w:asciiTheme="majorHAnsi" w:eastAsiaTheme="majorEastAsia" w:hAnsiTheme="majorHAnsi" w:cstheme="majorBidi"/>
          <w:b/>
          <w:bCs/>
          <w:color w:val="4F81BD" w:themeColor="accent1"/>
          <w:lang w:val="en-US"/>
        </w:rPr>
      </w:pPr>
      <w:r>
        <w:rPr>
          <w:rFonts w:asciiTheme="majorHAnsi" w:eastAsiaTheme="majorEastAsia" w:hAnsiTheme="majorHAnsi" w:cstheme="majorBidi"/>
          <w:b/>
          <w:bCs/>
          <w:color w:val="4F81BD" w:themeColor="accent1"/>
          <w:lang w:val="en-US"/>
        </w:rPr>
        <w:t>Should interpreters be Registered?</w:t>
      </w:r>
    </w:p>
    <w:p w14:paraId="41A1F058" w14:textId="77777777" w:rsidR="00FA51F6" w:rsidRDefault="00FA51F6" w:rsidP="00C25174">
      <w:pPr>
        <w:rPr>
          <w:rFonts w:ascii="Arial" w:eastAsia="Times New Roman" w:hAnsi="Arial" w:cs="Arial"/>
          <w:color w:val="1A1A1A"/>
          <w:lang w:val="en-US" w:eastAsia="en-US"/>
        </w:rPr>
      </w:pPr>
    </w:p>
    <w:p w14:paraId="7C8E44E5" w14:textId="0E6819B2" w:rsidR="00FA51F6" w:rsidRDefault="00FA51F6" w:rsidP="00C25174">
      <w:pPr>
        <w:rPr>
          <w:rFonts w:ascii="Arial" w:eastAsia="Times New Roman" w:hAnsi="Arial" w:cs="Arial"/>
          <w:color w:val="1A1A1A"/>
          <w:lang w:val="en-US" w:eastAsia="en-US"/>
        </w:rPr>
      </w:pPr>
      <w:r>
        <w:rPr>
          <w:rFonts w:ascii="Arial" w:eastAsia="Times New Roman" w:hAnsi="Arial" w:cs="Arial"/>
          <w:color w:val="1A1A1A"/>
          <w:lang w:val="en-US" w:eastAsia="en-US"/>
        </w:rPr>
        <w:t xml:space="preserve">AtW Guidance v 20 says that when booking </w:t>
      </w:r>
      <w:r w:rsidRPr="00FA51F6">
        <w:rPr>
          <w:rFonts w:ascii="Arial" w:eastAsia="Times New Roman" w:hAnsi="Arial" w:cs="Arial"/>
          <w:color w:val="1A1A1A"/>
          <w:u w:val="single"/>
          <w:lang w:val="en-US" w:eastAsia="en-US"/>
        </w:rPr>
        <w:t>for interviews</w:t>
      </w:r>
      <w:r>
        <w:rPr>
          <w:rFonts w:ascii="Arial" w:eastAsia="Times New Roman" w:hAnsi="Arial" w:cs="Arial"/>
          <w:color w:val="1A1A1A"/>
          <w:lang w:val="en-US" w:eastAsia="en-US"/>
        </w:rPr>
        <w:t xml:space="preserve"> preference must be given to qualified BSL interpreters and Lipspeakers registered with Signature (it should be NRCPD) or SASLI, and that if they aren’t registered, they shouldn’t be booked.</w:t>
      </w:r>
      <w:r w:rsidR="00AA5CE4">
        <w:rPr>
          <w:rFonts w:ascii="Arial" w:eastAsia="Times New Roman" w:hAnsi="Arial" w:cs="Arial"/>
          <w:color w:val="1A1A1A"/>
          <w:lang w:val="en-US" w:eastAsia="en-US"/>
        </w:rPr>
        <w:t xml:space="preserve">  (AtW 611)</w:t>
      </w:r>
    </w:p>
    <w:p w14:paraId="3F78DCDD" w14:textId="77777777" w:rsidR="00FA51F6" w:rsidRDefault="00FA51F6" w:rsidP="00C25174">
      <w:pPr>
        <w:rPr>
          <w:rFonts w:ascii="Arial" w:eastAsia="Times New Roman" w:hAnsi="Arial" w:cs="Arial"/>
          <w:color w:val="1A1A1A"/>
          <w:lang w:val="en-US" w:eastAsia="en-US"/>
        </w:rPr>
      </w:pPr>
    </w:p>
    <w:p w14:paraId="3D8ACEB2" w14:textId="25523E71" w:rsidR="00C25174" w:rsidRPr="00C25174" w:rsidRDefault="00FA51F6" w:rsidP="00C25174">
      <w:pPr>
        <w:rPr>
          <w:rFonts w:ascii="Arial" w:eastAsia="Times New Roman" w:hAnsi="Arial" w:cs="Arial"/>
          <w:color w:val="1A1A1A"/>
          <w:lang w:val="en-US" w:eastAsia="en-US"/>
        </w:rPr>
      </w:pPr>
      <w:r>
        <w:rPr>
          <w:rFonts w:ascii="Arial" w:eastAsia="Times New Roman" w:hAnsi="Arial" w:cs="Arial"/>
          <w:color w:val="1A1A1A"/>
          <w:lang w:val="en-US" w:eastAsia="en-US"/>
        </w:rPr>
        <w:t>It doesn’t say this in any other section</w:t>
      </w:r>
      <w:r w:rsidR="00AA5CE4">
        <w:rPr>
          <w:rFonts w:ascii="Arial" w:eastAsia="Times New Roman" w:hAnsi="Arial" w:cs="Arial"/>
          <w:color w:val="1A1A1A"/>
          <w:lang w:val="en-US" w:eastAsia="en-US"/>
        </w:rPr>
        <w:t>.</w:t>
      </w:r>
    </w:p>
    <w:p w14:paraId="3E408625" w14:textId="77777777" w:rsidR="000F24FE" w:rsidRDefault="000F24FE">
      <w:pPr>
        <w:rPr>
          <w:rFonts w:ascii="Arial" w:eastAsia="Times New Roman" w:hAnsi="Arial" w:cs="Arial"/>
          <w:color w:val="1A1A1A"/>
          <w:lang w:val="en-US" w:eastAsia="en-US"/>
        </w:rPr>
      </w:pPr>
    </w:p>
    <w:p w14:paraId="0DDB336A" w14:textId="50742299" w:rsidR="0031271D" w:rsidRDefault="00246F84" w:rsidP="0031271D">
      <w:pPr>
        <w:pStyle w:val="Heading4"/>
      </w:pPr>
      <w:r>
        <w:t>Working Abroad</w:t>
      </w:r>
    </w:p>
    <w:p w14:paraId="2D502394" w14:textId="77777777" w:rsidR="0031271D" w:rsidRDefault="0031271D" w:rsidP="0031271D"/>
    <w:p w14:paraId="21EBF758" w14:textId="69BF339B" w:rsidR="00DA7E74" w:rsidRPr="00787C46" w:rsidRDefault="0031271D" w:rsidP="00787C46">
      <w:r>
        <w:t>AtW Guidance says that if you need to visit overseas is a necessary part of your job, AtW can be agreed for a maximum of 3 months in a (rolling) year.  Travel and accommodation costs will be checked to make sure they are value for money.  It won’t be agreed if you are going abroad for training or career development.  (AtW 370)</w:t>
      </w:r>
    </w:p>
    <w:p w14:paraId="660FD16F" w14:textId="77777777" w:rsidR="000F24FE" w:rsidRDefault="000F24FE">
      <w:pPr>
        <w:rPr>
          <w:rFonts w:ascii="Arial" w:eastAsia="Times New Roman" w:hAnsi="Arial" w:cs="Arial"/>
          <w:color w:val="1A1A1A"/>
          <w:lang w:val="en-US" w:eastAsia="en-US"/>
        </w:rPr>
      </w:pPr>
    </w:p>
    <w:p w14:paraId="30C0BA26" w14:textId="1266EA63" w:rsidR="0023758D" w:rsidRPr="00787C46" w:rsidRDefault="0023758D" w:rsidP="0023758D">
      <w:pPr>
        <w:pStyle w:val="Heading4"/>
      </w:pPr>
      <w:r w:rsidRPr="00787C46">
        <w:t>Lip Speaker</w:t>
      </w:r>
    </w:p>
    <w:p w14:paraId="113AA5D2" w14:textId="77777777" w:rsidR="00787C46" w:rsidRDefault="00787C46" w:rsidP="00787C46"/>
    <w:p w14:paraId="11F81234" w14:textId="1B02BED7" w:rsidR="00787C46" w:rsidRDefault="00787C46" w:rsidP="00787C46">
      <w:r>
        <w:t>(AtW 413) explains what a Lip speaker is, and says that if the event is more than two hours two lip speakers may be needed.</w:t>
      </w:r>
    </w:p>
    <w:p w14:paraId="74DF0F1B" w14:textId="77777777" w:rsidR="00787C46" w:rsidRPr="00787C46" w:rsidRDefault="00787C46" w:rsidP="00787C46"/>
    <w:p w14:paraId="0005A6D2" w14:textId="77777777" w:rsidR="00193D15" w:rsidRDefault="00193D15" w:rsidP="0023758D">
      <w:pPr>
        <w:pStyle w:val="Heading4"/>
      </w:pPr>
      <w:bookmarkStart w:id="8" w:name="_Note_Taker"/>
      <w:bookmarkEnd w:id="8"/>
    </w:p>
    <w:p w14:paraId="077E7C3F" w14:textId="72EC3DF1" w:rsidR="0023758D" w:rsidRDefault="0023758D" w:rsidP="0023758D">
      <w:pPr>
        <w:pStyle w:val="Heading4"/>
      </w:pPr>
      <w:r w:rsidRPr="00787C46">
        <w:t>Note Taker</w:t>
      </w:r>
    </w:p>
    <w:p w14:paraId="536007AF" w14:textId="77777777" w:rsidR="00787C46" w:rsidRDefault="00787C46" w:rsidP="00787C46"/>
    <w:p w14:paraId="6453AA32" w14:textId="52A59337" w:rsidR="00787C46" w:rsidRDefault="00787C46" w:rsidP="00787C46">
      <w:r>
        <w:t>(AtW 414) explains what a Note Taker does, and says that if someone else at the meeting is taking notes or minutes, a Note Taker won’t be agreed.</w:t>
      </w:r>
    </w:p>
    <w:p w14:paraId="5288C753" w14:textId="77777777" w:rsidR="00787C46" w:rsidRDefault="00787C46" w:rsidP="00787C46"/>
    <w:p w14:paraId="053C1BBC" w14:textId="07D47E5C" w:rsidR="0023758D" w:rsidRPr="00787C46" w:rsidRDefault="0023758D" w:rsidP="0023758D">
      <w:pPr>
        <w:pStyle w:val="Heading4"/>
      </w:pPr>
      <w:bookmarkStart w:id="9" w:name="_Palantypist"/>
      <w:bookmarkEnd w:id="9"/>
      <w:r w:rsidRPr="00787C46">
        <w:t>Palantypist</w:t>
      </w:r>
    </w:p>
    <w:p w14:paraId="6B442107" w14:textId="77777777" w:rsidR="00CC26BE" w:rsidRDefault="00CC26BE" w:rsidP="00CC26BE">
      <w:pPr>
        <w:pStyle w:val="ListNumber"/>
        <w:numPr>
          <w:ilvl w:val="0"/>
          <w:numId w:val="0"/>
        </w:numPr>
      </w:pPr>
    </w:p>
    <w:p w14:paraId="2FB3E9AD" w14:textId="46197003" w:rsidR="00CC26BE" w:rsidRDefault="00CC26BE" w:rsidP="00CC26BE">
      <w:r>
        <w:t>(AtW 414) explains what a Palantypist does.</w:t>
      </w:r>
    </w:p>
    <w:p w14:paraId="24186D7D" w14:textId="77777777" w:rsidR="00CC26BE" w:rsidRDefault="00CC26BE" w:rsidP="00CC26BE">
      <w:pPr>
        <w:pStyle w:val="ListNumber"/>
        <w:numPr>
          <w:ilvl w:val="0"/>
          <w:numId w:val="0"/>
        </w:numPr>
      </w:pPr>
    </w:p>
    <w:p w14:paraId="2E69ED48" w14:textId="77777777" w:rsidR="0023758D" w:rsidRPr="00787C46" w:rsidRDefault="0023758D" w:rsidP="00DB4D63">
      <w:pPr>
        <w:rPr>
          <w:rFonts w:ascii="Arial" w:eastAsia="Times New Roman" w:hAnsi="Arial" w:cs="Arial"/>
          <w:color w:val="1A1A1A"/>
          <w:lang w:val="en-US" w:eastAsia="en-US"/>
        </w:rPr>
      </w:pPr>
    </w:p>
    <w:sectPr w:rsidR="0023758D" w:rsidRPr="00787C46">
      <w:headerReference w:type="default" r:id="rId8"/>
      <w:foot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CBC6B" w14:textId="77777777" w:rsidR="00C60E96" w:rsidRDefault="00C60E96" w:rsidP="00274282">
      <w:r>
        <w:separator/>
      </w:r>
    </w:p>
  </w:endnote>
  <w:endnote w:type="continuationSeparator" w:id="0">
    <w:p w14:paraId="1C98BB3E" w14:textId="77777777" w:rsidR="00C60E96" w:rsidRDefault="00C60E96" w:rsidP="0027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2">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287" w:usb1="00000000"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E3A6E" w14:textId="2B215644" w:rsidR="00C60E96" w:rsidRDefault="00C60E96">
    <w:pPr>
      <w:pStyle w:val="Footer"/>
    </w:pPr>
    <w:r>
      <w:rPr>
        <w:lang w:val="en-US"/>
      </w:rPr>
      <w:tab/>
      <w:t xml:space="preserve">Page </w:t>
    </w:r>
    <w:r>
      <w:rPr>
        <w:lang w:val="en-US"/>
      </w:rPr>
      <w:fldChar w:fldCharType="begin"/>
    </w:r>
    <w:r>
      <w:rPr>
        <w:lang w:val="en-US"/>
      </w:rPr>
      <w:instrText xml:space="preserve"> PAGE </w:instrText>
    </w:r>
    <w:r>
      <w:rPr>
        <w:lang w:val="en-US"/>
      </w:rPr>
      <w:fldChar w:fldCharType="separate"/>
    </w:r>
    <w:r w:rsidR="00C123B2">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C123B2">
      <w:rPr>
        <w:noProof/>
        <w:lang w:val="en-US"/>
      </w:rPr>
      <w:t>2</w:t>
    </w:r>
    <w:r>
      <w:rPr>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FD429" w14:textId="77777777" w:rsidR="00C60E96" w:rsidRDefault="00C60E96" w:rsidP="00274282">
      <w:r>
        <w:separator/>
      </w:r>
    </w:p>
  </w:footnote>
  <w:footnote w:type="continuationSeparator" w:id="0">
    <w:p w14:paraId="26589B28" w14:textId="77777777" w:rsidR="00C60E96" w:rsidRDefault="00C60E96" w:rsidP="002742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D7712" w14:textId="46BF288D" w:rsidR="00C60E96" w:rsidRDefault="00C60E96" w:rsidP="00274282">
    <w:pPr>
      <w:pStyle w:val="Header"/>
      <w:jc w:val="center"/>
    </w:pPr>
    <w:r>
      <w:t>Information in AtW Guidance that may help you.  Version 2</w:t>
    </w:r>
  </w:p>
  <w:p w14:paraId="593DD923" w14:textId="77777777" w:rsidR="00C60E96" w:rsidRDefault="00C60E96" w:rsidP="00274282">
    <w:pPr>
      <w:pStyle w:val="Header"/>
      <w:jc w:val="center"/>
    </w:pPr>
  </w:p>
  <w:p w14:paraId="34BFE743" w14:textId="77777777" w:rsidR="00C60E96" w:rsidRDefault="00C60E96" w:rsidP="00274282">
    <w:pPr>
      <w:pStyle w:val="Header"/>
      <w:jc w:val="center"/>
    </w:pPr>
    <w:r>
      <w:t>A resource from DeafATW.com</w:t>
    </w:r>
  </w:p>
  <w:p w14:paraId="457D701B" w14:textId="77777777" w:rsidR="00C60E96" w:rsidRDefault="00C60E9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A88FB6A"/>
    <w:lvl w:ilvl="0">
      <w:start w:val="1"/>
      <w:numFmt w:val="bullet"/>
      <w:lvlText w:val=""/>
      <w:lvlJc w:val="left"/>
      <w:pPr>
        <w:tabs>
          <w:tab w:val="num" w:pos="1209"/>
        </w:tabs>
        <w:ind w:left="1209" w:hanging="360"/>
      </w:pPr>
      <w:rPr>
        <w:rFonts w:ascii="Symbol" w:hAnsi="Symbol" w:hint="default"/>
      </w:rPr>
    </w:lvl>
  </w:abstractNum>
  <w:abstractNum w:abstractNumId="1">
    <w:nsid w:val="FFFFFF83"/>
    <w:multiLevelType w:val="singleLevel"/>
    <w:tmpl w:val="3F98FE06"/>
    <w:lvl w:ilvl="0">
      <w:start w:val="1"/>
      <w:numFmt w:val="bullet"/>
      <w:pStyle w:val="ListBulletIndent"/>
      <w:lvlText w:val=""/>
      <w:lvlJc w:val="left"/>
      <w:pPr>
        <w:tabs>
          <w:tab w:val="num" w:pos="927"/>
        </w:tabs>
        <w:ind w:left="927" w:hanging="360"/>
      </w:pPr>
      <w:rPr>
        <w:rFonts w:ascii="Wingdings 2" w:hAnsi="Wingdings 2" w:hint="default"/>
        <w:sz w:val="12"/>
      </w:rPr>
    </w:lvl>
  </w:abstractNum>
  <w:abstractNum w:abstractNumId="2">
    <w:nsid w:val="16C119C8"/>
    <w:multiLevelType w:val="hybridMultilevel"/>
    <w:tmpl w:val="E4288956"/>
    <w:lvl w:ilvl="0" w:tplc="D58CE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66420"/>
    <w:multiLevelType w:val="hybridMultilevel"/>
    <w:tmpl w:val="F0708F2A"/>
    <w:lvl w:ilvl="0" w:tplc="B18E143E">
      <w:start w:val="3"/>
      <w:numFmt w:val="bullet"/>
      <w:lvlText w:val="-"/>
      <w:lvlJc w:val="left"/>
      <w:pPr>
        <w:ind w:left="1080" w:hanging="360"/>
      </w:pPr>
      <w:rPr>
        <w:rFonts w:ascii="Arial" w:eastAsiaTheme="minorEastAsia" w:hAnsi="Arial" w:cs="Lucida Grand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9E3327B"/>
    <w:multiLevelType w:val="hybridMultilevel"/>
    <w:tmpl w:val="590CB658"/>
    <w:lvl w:ilvl="0" w:tplc="5400EFB4">
      <w:start w:val="36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EC299F"/>
    <w:multiLevelType w:val="hybridMultilevel"/>
    <w:tmpl w:val="F9909E72"/>
    <w:lvl w:ilvl="0" w:tplc="76BA4816">
      <w:start w:val="1"/>
      <w:numFmt w:val="bullet"/>
      <w:pStyle w:val="ListBulletIndent2"/>
      <w:lvlText w:val=""/>
      <w:lvlJc w:val="left"/>
      <w:pPr>
        <w:tabs>
          <w:tab w:val="num" w:pos="992"/>
        </w:tabs>
        <w:ind w:left="992"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A62B0C"/>
    <w:multiLevelType w:val="hybridMultilevel"/>
    <w:tmpl w:val="3EF822DE"/>
    <w:lvl w:ilvl="0" w:tplc="F71A3114">
      <w:start w:val="227"/>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45091E"/>
    <w:multiLevelType w:val="hybridMultilevel"/>
    <w:tmpl w:val="BCB62A9A"/>
    <w:lvl w:ilvl="0" w:tplc="6F1C1B4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0"/>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A6"/>
    <w:rsid w:val="00024575"/>
    <w:rsid w:val="000405A6"/>
    <w:rsid w:val="000D46CE"/>
    <w:rsid w:val="000F24FE"/>
    <w:rsid w:val="001304A1"/>
    <w:rsid w:val="00172798"/>
    <w:rsid w:val="001932B9"/>
    <w:rsid w:val="00193D15"/>
    <w:rsid w:val="00226D30"/>
    <w:rsid w:val="0023758D"/>
    <w:rsid w:val="00246F84"/>
    <w:rsid w:val="00251B1A"/>
    <w:rsid w:val="00263EAE"/>
    <w:rsid w:val="0026549A"/>
    <w:rsid w:val="00274282"/>
    <w:rsid w:val="002E3EFE"/>
    <w:rsid w:val="002E6CCF"/>
    <w:rsid w:val="00300CAD"/>
    <w:rsid w:val="0031271D"/>
    <w:rsid w:val="00322F8C"/>
    <w:rsid w:val="00343ED3"/>
    <w:rsid w:val="00353434"/>
    <w:rsid w:val="00387453"/>
    <w:rsid w:val="003C3AB2"/>
    <w:rsid w:val="003D12B1"/>
    <w:rsid w:val="003F2EEF"/>
    <w:rsid w:val="0040599B"/>
    <w:rsid w:val="00412FC3"/>
    <w:rsid w:val="00491FF5"/>
    <w:rsid w:val="004A1F25"/>
    <w:rsid w:val="004B68D3"/>
    <w:rsid w:val="004F2708"/>
    <w:rsid w:val="00515685"/>
    <w:rsid w:val="00550B9F"/>
    <w:rsid w:val="0057515D"/>
    <w:rsid w:val="005B22F9"/>
    <w:rsid w:val="00600A6D"/>
    <w:rsid w:val="006605DB"/>
    <w:rsid w:val="006779F8"/>
    <w:rsid w:val="006D4370"/>
    <w:rsid w:val="00711755"/>
    <w:rsid w:val="00715BD1"/>
    <w:rsid w:val="00741432"/>
    <w:rsid w:val="0074738A"/>
    <w:rsid w:val="007663A3"/>
    <w:rsid w:val="00787C46"/>
    <w:rsid w:val="007D1151"/>
    <w:rsid w:val="007D2C3A"/>
    <w:rsid w:val="00810272"/>
    <w:rsid w:val="00825947"/>
    <w:rsid w:val="008306EA"/>
    <w:rsid w:val="00833160"/>
    <w:rsid w:val="008620A0"/>
    <w:rsid w:val="008A2BB0"/>
    <w:rsid w:val="008C7877"/>
    <w:rsid w:val="008D2679"/>
    <w:rsid w:val="008F32F5"/>
    <w:rsid w:val="00906C19"/>
    <w:rsid w:val="00930C77"/>
    <w:rsid w:val="009E17B6"/>
    <w:rsid w:val="00A74FC6"/>
    <w:rsid w:val="00AA5CE4"/>
    <w:rsid w:val="00AB37F7"/>
    <w:rsid w:val="00B27085"/>
    <w:rsid w:val="00B6703F"/>
    <w:rsid w:val="00B71DD0"/>
    <w:rsid w:val="00B83B87"/>
    <w:rsid w:val="00B93081"/>
    <w:rsid w:val="00C123B2"/>
    <w:rsid w:val="00C250D9"/>
    <w:rsid w:val="00C25174"/>
    <w:rsid w:val="00C321D7"/>
    <w:rsid w:val="00C50D0F"/>
    <w:rsid w:val="00C60E96"/>
    <w:rsid w:val="00CC26BE"/>
    <w:rsid w:val="00CD2555"/>
    <w:rsid w:val="00CE797D"/>
    <w:rsid w:val="00CF0C42"/>
    <w:rsid w:val="00D07837"/>
    <w:rsid w:val="00D07B96"/>
    <w:rsid w:val="00D53D4D"/>
    <w:rsid w:val="00D61709"/>
    <w:rsid w:val="00DA4C72"/>
    <w:rsid w:val="00DA7E74"/>
    <w:rsid w:val="00DB4D63"/>
    <w:rsid w:val="00DB5F36"/>
    <w:rsid w:val="00DD2907"/>
    <w:rsid w:val="00DD49BB"/>
    <w:rsid w:val="00E12B57"/>
    <w:rsid w:val="00E328A5"/>
    <w:rsid w:val="00E828F5"/>
    <w:rsid w:val="00EB3A15"/>
    <w:rsid w:val="00EB5B1A"/>
    <w:rsid w:val="00F142D1"/>
    <w:rsid w:val="00FA51F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5C3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A6"/>
    <w:rPr>
      <w:sz w:val="24"/>
      <w:szCs w:val="24"/>
    </w:rPr>
  </w:style>
  <w:style w:type="paragraph" w:styleId="Heading1">
    <w:name w:val="heading 1"/>
    <w:basedOn w:val="Normal"/>
    <w:next w:val="Normal"/>
    <w:link w:val="Heading1Char"/>
    <w:uiPriority w:val="9"/>
    <w:qFormat/>
    <w:rsid w:val="000405A6"/>
    <w:pPr>
      <w:keepNext/>
      <w:keepLines/>
      <w:spacing w:before="480"/>
      <w:outlineLvl w:val="0"/>
    </w:pPr>
    <w:rPr>
      <w:rFonts w:ascii="Arial" w:eastAsiaTheme="majorEastAsia" w:hAnsi="Arial" w:cs="Arial"/>
      <w:b/>
      <w:bCs/>
      <w:color w:val="4F81BD" w:themeColor="accent1"/>
    </w:rPr>
  </w:style>
  <w:style w:type="paragraph" w:styleId="Heading2">
    <w:name w:val="heading 2"/>
    <w:basedOn w:val="Normal"/>
    <w:next w:val="Normal"/>
    <w:link w:val="Heading2Char"/>
    <w:uiPriority w:val="9"/>
    <w:semiHidden/>
    <w:unhideWhenUsed/>
    <w:qFormat/>
    <w:rsid w:val="00DB4D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05A6"/>
    <w:pPr>
      <w:keepNext/>
      <w:keepLines/>
      <w:spacing w:before="20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semiHidden/>
    <w:unhideWhenUsed/>
    <w:qFormat/>
    <w:rsid w:val="000F24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5A6"/>
    <w:rPr>
      <w:rFonts w:ascii="Arial" w:eastAsiaTheme="majorEastAsia" w:hAnsi="Arial" w:cs="Arial"/>
      <w:b/>
      <w:bCs/>
      <w:color w:val="4F81BD" w:themeColor="accent1"/>
      <w:sz w:val="24"/>
      <w:szCs w:val="24"/>
    </w:rPr>
  </w:style>
  <w:style w:type="character" w:customStyle="1" w:styleId="Heading3Char">
    <w:name w:val="Heading 3 Char"/>
    <w:basedOn w:val="DefaultParagraphFont"/>
    <w:link w:val="Heading3"/>
    <w:uiPriority w:val="9"/>
    <w:rsid w:val="000405A6"/>
    <w:rPr>
      <w:rFonts w:asciiTheme="majorHAnsi" w:eastAsiaTheme="majorEastAsia" w:hAnsiTheme="majorHAnsi" w:cstheme="majorBidi"/>
      <w:b/>
      <w:bCs/>
      <w:color w:val="4F81BD" w:themeColor="accent1"/>
      <w:sz w:val="24"/>
      <w:szCs w:val="24"/>
      <w:lang w:val="en-US"/>
    </w:rPr>
  </w:style>
  <w:style w:type="paragraph" w:styleId="ListNumber">
    <w:name w:val="List Number"/>
    <w:basedOn w:val="Normal"/>
    <w:link w:val="ListNumberChar"/>
    <w:rsid w:val="000405A6"/>
    <w:pPr>
      <w:numPr>
        <w:numId w:val="3"/>
      </w:numPr>
    </w:pPr>
    <w:rPr>
      <w:rFonts w:ascii="Arial" w:eastAsia="Times New Roman" w:hAnsi="Arial" w:cs="Times New Roman"/>
      <w:lang w:eastAsia="en-US"/>
    </w:rPr>
  </w:style>
  <w:style w:type="character" w:customStyle="1" w:styleId="ListNumberChar">
    <w:name w:val="List Number Char"/>
    <w:basedOn w:val="DefaultParagraphFont"/>
    <w:link w:val="ListNumber"/>
    <w:rsid w:val="000405A6"/>
    <w:rPr>
      <w:rFonts w:ascii="Arial" w:eastAsia="Times New Roman" w:hAnsi="Arial" w:cs="Times New Roman"/>
      <w:sz w:val="24"/>
      <w:szCs w:val="24"/>
      <w:lang w:eastAsia="en-US"/>
    </w:rPr>
  </w:style>
  <w:style w:type="paragraph" w:styleId="ListBullet">
    <w:name w:val="List Bullet"/>
    <w:basedOn w:val="Normal"/>
    <w:rsid w:val="000405A6"/>
    <w:pPr>
      <w:numPr>
        <w:numId w:val="4"/>
      </w:numPr>
      <w:tabs>
        <w:tab w:val="num" w:pos="644"/>
      </w:tabs>
      <w:ind w:left="754" w:hanging="357"/>
    </w:pPr>
    <w:rPr>
      <w:rFonts w:ascii="Arial" w:eastAsia="Times New Roman" w:hAnsi="Arial" w:cs="Times New Roman"/>
      <w:lang w:eastAsia="en-US"/>
    </w:rPr>
  </w:style>
  <w:style w:type="character" w:styleId="Emphasis">
    <w:name w:val="Emphasis"/>
    <w:basedOn w:val="DefaultParagraphFont"/>
    <w:uiPriority w:val="20"/>
    <w:qFormat/>
    <w:rsid w:val="000405A6"/>
    <w:rPr>
      <w:i/>
      <w:iCs/>
    </w:rPr>
  </w:style>
  <w:style w:type="character" w:customStyle="1" w:styleId="Heading4Char">
    <w:name w:val="Heading 4 Char"/>
    <w:basedOn w:val="DefaultParagraphFont"/>
    <w:link w:val="Heading4"/>
    <w:uiPriority w:val="9"/>
    <w:semiHidden/>
    <w:rsid w:val="000F24FE"/>
    <w:rPr>
      <w:rFonts w:asciiTheme="majorHAnsi" w:eastAsiaTheme="majorEastAsia" w:hAnsiTheme="majorHAnsi" w:cstheme="majorBidi"/>
      <w:b/>
      <w:bCs/>
      <w:i/>
      <w:iCs/>
      <w:color w:val="4F81BD" w:themeColor="accent1"/>
      <w:sz w:val="24"/>
      <w:szCs w:val="24"/>
    </w:rPr>
  </w:style>
  <w:style w:type="paragraph" w:customStyle="1" w:styleId="ListBulletIndent">
    <w:name w:val="List Bullet Indent"/>
    <w:basedOn w:val="Normal"/>
    <w:rsid w:val="000F24FE"/>
    <w:pPr>
      <w:numPr>
        <w:numId w:val="3"/>
      </w:numPr>
      <w:ind w:left="1037" w:hanging="357"/>
    </w:pPr>
    <w:rPr>
      <w:rFonts w:ascii="Arial" w:eastAsia="Times New Roman" w:hAnsi="Arial" w:cs="Times New Roman"/>
      <w:lang w:eastAsia="en-US"/>
    </w:rPr>
  </w:style>
  <w:style w:type="paragraph" w:customStyle="1" w:styleId="ListBulletIndent2">
    <w:name w:val="List Bullet Indent 2"/>
    <w:basedOn w:val="Normal"/>
    <w:rsid w:val="000F24FE"/>
    <w:pPr>
      <w:numPr>
        <w:numId w:val="5"/>
      </w:numPr>
      <w:ind w:left="1559"/>
    </w:pPr>
    <w:rPr>
      <w:rFonts w:ascii="Arial" w:eastAsia="Times New Roman" w:hAnsi="Arial" w:cs="Times New Roman"/>
      <w:lang w:eastAsia="en-US"/>
    </w:rPr>
  </w:style>
  <w:style w:type="paragraph" w:customStyle="1" w:styleId="DefaultParagraphFontPara">
    <w:name w:val="Default Paragraph Font Para"/>
    <w:basedOn w:val="Normal"/>
    <w:rsid w:val="000F24FE"/>
    <w:pPr>
      <w:spacing w:before="60" w:after="120" w:line="240" w:lineRule="exact"/>
    </w:pPr>
    <w:rPr>
      <w:rFonts w:ascii="Verdana" w:eastAsia="Times New Roman" w:hAnsi="Verdana" w:cs="Times New Roman"/>
      <w:sz w:val="20"/>
      <w:szCs w:val="20"/>
      <w:lang w:val="en-US" w:eastAsia="en-US"/>
    </w:rPr>
  </w:style>
  <w:style w:type="character" w:customStyle="1" w:styleId="Heading2Char">
    <w:name w:val="Heading 2 Char"/>
    <w:basedOn w:val="DefaultParagraphFont"/>
    <w:link w:val="Heading2"/>
    <w:uiPriority w:val="9"/>
    <w:semiHidden/>
    <w:rsid w:val="00DB4D63"/>
    <w:rPr>
      <w:rFonts w:asciiTheme="majorHAnsi" w:eastAsiaTheme="majorEastAsia" w:hAnsiTheme="majorHAnsi" w:cstheme="majorBidi"/>
      <w:b/>
      <w:bCs/>
      <w:color w:val="4F81BD" w:themeColor="accent1"/>
      <w:sz w:val="26"/>
      <w:szCs w:val="26"/>
    </w:rPr>
  </w:style>
  <w:style w:type="character" w:styleId="Hyperlink">
    <w:name w:val="Hyperlink"/>
    <w:rsid w:val="00343ED3"/>
    <w:rPr>
      <w:rFonts w:ascii="Arial" w:hAnsi="Arial"/>
      <w:color w:val="0000FF"/>
      <w:sz w:val="24"/>
      <w:u w:val="single"/>
      <w:lang w:val="en-US" w:eastAsia="en-US" w:bidi="ar-SA"/>
    </w:rPr>
  </w:style>
  <w:style w:type="paragraph" w:styleId="Header">
    <w:name w:val="header"/>
    <w:basedOn w:val="Normal"/>
    <w:link w:val="HeaderChar"/>
    <w:uiPriority w:val="99"/>
    <w:unhideWhenUsed/>
    <w:rsid w:val="00274282"/>
    <w:pPr>
      <w:tabs>
        <w:tab w:val="center" w:pos="4320"/>
        <w:tab w:val="right" w:pos="8640"/>
      </w:tabs>
    </w:pPr>
  </w:style>
  <w:style w:type="character" w:customStyle="1" w:styleId="HeaderChar">
    <w:name w:val="Header Char"/>
    <w:basedOn w:val="DefaultParagraphFont"/>
    <w:link w:val="Header"/>
    <w:uiPriority w:val="99"/>
    <w:rsid w:val="00274282"/>
    <w:rPr>
      <w:sz w:val="24"/>
      <w:szCs w:val="24"/>
    </w:rPr>
  </w:style>
  <w:style w:type="paragraph" w:styleId="Footer">
    <w:name w:val="footer"/>
    <w:basedOn w:val="Normal"/>
    <w:link w:val="FooterChar"/>
    <w:uiPriority w:val="99"/>
    <w:unhideWhenUsed/>
    <w:rsid w:val="00274282"/>
    <w:pPr>
      <w:tabs>
        <w:tab w:val="center" w:pos="4320"/>
        <w:tab w:val="right" w:pos="8640"/>
      </w:tabs>
    </w:pPr>
  </w:style>
  <w:style w:type="character" w:customStyle="1" w:styleId="FooterChar">
    <w:name w:val="Footer Char"/>
    <w:basedOn w:val="DefaultParagraphFont"/>
    <w:link w:val="Footer"/>
    <w:uiPriority w:val="99"/>
    <w:rsid w:val="00274282"/>
    <w:rPr>
      <w:sz w:val="24"/>
      <w:szCs w:val="24"/>
    </w:rPr>
  </w:style>
  <w:style w:type="paragraph" w:styleId="BalloonText">
    <w:name w:val="Balloon Text"/>
    <w:basedOn w:val="Normal"/>
    <w:link w:val="BalloonTextChar"/>
    <w:uiPriority w:val="99"/>
    <w:semiHidden/>
    <w:unhideWhenUsed/>
    <w:rsid w:val="00C123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3B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A6"/>
    <w:rPr>
      <w:sz w:val="24"/>
      <w:szCs w:val="24"/>
    </w:rPr>
  </w:style>
  <w:style w:type="paragraph" w:styleId="Heading1">
    <w:name w:val="heading 1"/>
    <w:basedOn w:val="Normal"/>
    <w:next w:val="Normal"/>
    <w:link w:val="Heading1Char"/>
    <w:uiPriority w:val="9"/>
    <w:qFormat/>
    <w:rsid w:val="000405A6"/>
    <w:pPr>
      <w:keepNext/>
      <w:keepLines/>
      <w:spacing w:before="480"/>
      <w:outlineLvl w:val="0"/>
    </w:pPr>
    <w:rPr>
      <w:rFonts w:ascii="Arial" w:eastAsiaTheme="majorEastAsia" w:hAnsi="Arial" w:cs="Arial"/>
      <w:b/>
      <w:bCs/>
      <w:color w:val="4F81BD" w:themeColor="accent1"/>
    </w:rPr>
  </w:style>
  <w:style w:type="paragraph" w:styleId="Heading2">
    <w:name w:val="heading 2"/>
    <w:basedOn w:val="Normal"/>
    <w:next w:val="Normal"/>
    <w:link w:val="Heading2Char"/>
    <w:uiPriority w:val="9"/>
    <w:semiHidden/>
    <w:unhideWhenUsed/>
    <w:qFormat/>
    <w:rsid w:val="00DB4D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05A6"/>
    <w:pPr>
      <w:keepNext/>
      <w:keepLines/>
      <w:spacing w:before="20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semiHidden/>
    <w:unhideWhenUsed/>
    <w:qFormat/>
    <w:rsid w:val="000F24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5A6"/>
    <w:rPr>
      <w:rFonts w:ascii="Arial" w:eastAsiaTheme="majorEastAsia" w:hAnsi="Arial" w:cs="Arial"/>
      <w:b/>
      <w:bCs/>
      <w:color w:val="4F81BD" w:themeColor="accent1"/>
      <w:sz w:val="24"/>
      <w:szCs w:val="24"/>
    </w:rPr>
  </w:style>
  <w:style w:type="character" w:customStyle="1" w:styleId="Heading3Char">
    <w:name w:val="Heading 3 Char"/>
    <w:basedOn w:val="DefaultParagraphFont"/>
    <w:link w:val="Heading3"/>
    <w:uiPriority w:val="9"/>
    <w:rsid w:val="000405A6"/>
    <w:rPr>
      <w:rFonts w:asciiTheme="majorHAnsi" w:eastAsiaTheme="majorEastAsia" w:hAnsiTheme="majorHAnsi" w:cstheme="majorBidi"/>
      <w:b/>
      <w:bCs/>
      <w:color w:val="4F81BD" w:themeColor="accent1"/>
      <w:sz w:val="24"/>
      <w:szCs w:val="24"/>
      <w:lang w:val="en-US"/>
    </w:rPr>
  </w:style>
  <w:style w:type="paragraph" w:styleId="ListNumber">
    <w:name w:val="List Number"/>
    <w:basedOn w:val="Normal"/>
    <w:link w:val="ListNumberChar"/>
    <w:rsid w:val="000405A6"/>
    <w:pPr>
      <w:numPr>
        <w:numId w:val="3"/>
      </w:numPr>
    </w:pPr>
    <w:rPr>
      <w:rFonts w:ascii="Arial" w:eastAsia="Times New Roman" w:hAnsi="Arial" w:cs="Times New Roman"/>
      <w:lang w:eastAsia="en-US"/>
    </w:rPr>
  </w:style>
  <w:style w:type="character" w:customStyle="1" w:styleId="ListNumberChar">
    <w:name w:val="List Number Char"/>
    <w:basedOn w:val="DefaultParagraphFont"/>
    <w:link w:val="ListNumber"/>
    <w:rsid w:val="000405A6"/>
    <w:rPr>
      <w:rFonts w:ascii="Arial" w:eastAsia="Times New Roman" w:hAnsi="Arial" w:cs="Times New Roman"/>
      <w:sz w:val="24"/>
      <w:szCs w:val="24"/>
      <w:lang w:eastAsia="en-US"/>
    </w:rPr>
  </w:style>
  <w:style w:type="paragraph" w:styleId="ListBullet">
    <w:name w:val="List Bullet"/>
    <w:basedOn w:val="Normal"/>
    <w:rsid w:val="000405A6"/>
    <w:pPr>
      <w:numPr>
        <w:numId w:val="4"/>
      </w:numPr>
      <w:tabs>
        <w:tab w:val="num" w:pos="644"/>
      </w:tabs>
      <w:ind w:left="754" w:hanging="357"/>
    </w:pPr>
    <w:rPr>
      <w:rFonts w:ascii="Arial" w:eastAsia="Times New Roman" w:hAnsi="Arial" w:cs="Times New Roman"/>
      <w:lang w:eastAsia="en-US"/>
    </w:rPr>
  </w:style>
  <w:style w:type="character" w:styleId="Emphasis">
    <w:name w:val="Emphasis"/>
    <w:basedOn w:val="DefaultParagraphFont"/>
    <w:uiPriority w:val="20"/>
    <w:qFormat/>
    <w:rsid w:val="000405A6"/>
    <w:rPr>
      <w:i/>
      <w:iCs/>
    </w:rPr>
  </w:style>
  <w:style w:type="character" w:customStyle="1" w:styleId="Heading4Char">
    <w:name w:val="Heading 4 Char"/>
    <w:basedOn w:val="DefaultParagraphFont"/>
    <w:link w:val="Heading4"/>
    <w:uiPriority w:val="9"/>
    <w:semiHidden/>
    <w:rsid w:val="000F24FE"/>
    <w:rPr>
      <w:rFonts w:asciiTheme="majorHAnsi" w:eastAsiaTheme="majorEastAsia" w:hAnsiTheme="majorHAnsi" w:cstheme="majorBidi"/>
      <w:b/>
      <w:bCs/>
      <w:i/>
      <w:iCs/>
      <w:color w:val="4F81BD" w:themeColor="accent1"/>
      <w:sz w:val="24"/>
      <w:szCs w:val="24"/>
    </w:rPr>
  </w:style>
  <w:style w:type="paragraph" w:customStyle="1" w:styleId="ListBulletIndent">
    <w:name w:val="List Bullet Indent"/>
    <w:basedOn w:val="Normal"/>
    <w:rsid w:val="000F24FE"/>
    <w:pPr>
      <w:numPr>
        <w:numId w:val="3"/>
      </w:numPr>
      <w:ind w:left="1037" w:hanging="357"/>
    </w:pPr>
    <w:rPr>
      <w:rFonts w:ascii="Arial" w:eastAsia="Times New Roman" w:hAnsi="Arial" w:cs="Times New Roman"/>
      <w:lang w:eastAsia="en-US"/>
    </w:rPr>
  </w:style>
  <w:style w:type="paragraph" w:customStyle="1" w:styleId="ListBulletIndent2">
    <w:name w:val="List Bullet Indent 2"/>
    <w:basedOn w:val="Normal"/>
    <w:rsid w:val="000F24FE"/>
    <w:pPr>
      <w:numPr>
        <w:numId w:val="5"/>
      </w:numPr>
      <w:ind w:left="1559"/>
    </w:pPr>
    <w:rPr>
      <w:rFonts w:ascii="Arial" w:eastAsia="Times New Roman" w:hAnsi="Arial" w:cs="Times New Roman"/>
      <w:lang w:eastAsia="en-US"/>
    </w:rPr>
  </w:style>
  <w:style w:type="paragraph" w:customStyle="1" w:styleId="DefaultParagraphFontPara">
    <w:name w:val="Default Paragraph Font Para"/>
    <w:basedOn w:val="Normal"/>
    <w:rsid w:val="000F24FE"/>
    <w:pPr>
      <w:spacing w:before="60" w:after="120" w:line="240" w:lineRule="exact"/>
    </w:pPr>
    <w:rPr>
      <w:rFonts w:ascii="Verdana" w:eastAsia="Times New Roman" w:hAnsi="Verdana" w:cs="Times New Roman"/>
      <w:sz w:val="20"/>
      <w:szCs w:val="20"/>
      <w:lang w:val="en-US" w:eastAsia="en-US"/>
    </w:rPr>
  </w:style>
  <w:style w:type="character" w:customStyle="1" w:styleId="Heading2Char">
    <w:name w:val="Heading 2 Char"/>
    <w:basedOn w:val="DefaultParagraphFont"/>
    <w:link w:val="Heading2"/>
    <w:uiPriority w:val="9"/>
    <w:semiHidden/>
    <w:rsid w:val="00DB4D63"/>
    <w:rPr>
      <w:rFonts w:asciiTheme="majorHAnsi" w:eastAsiaTheme="majorEastAsia" w:hAnsiTheme="majorHAnsi" w:cstheme="majorBidi"/>
      <w:b/>
      <w:bCs/>
      <w:color w:val="4F81BD" w:themeColor="accent1"/>
      <w:sz w:val="26"/>
      <w:szCs w:val="26"/>
    </w:rPr>
  </w:style>
  <w:style w:type="character" w:styleId="Hyperlink">
    <w:name w:val="Hyperlink"/>
    <w:rsid w:val="00343ED3"/>
    <w:rPr>
      <w:rFonts w:ascii="Arial" w:hAnsi="Arial"/>
      <w:color w:val="0000FF"/>
      <w:sz w:val="24"/>
      <w:u w:val="single"/>
      <w:lang w:val="en-US" w:eastAsia="en-US" w:bidi="ar-SA"/>
    </w:rPr>
  </w:style>
  <w:style w:type="paragraph" w:styleId="Header">
    <w:name w:val="header"/>
    <w:basedOn w:val="Normal"/>
    <w:link w:val="HeaderChar"/>
    <w:uiPriority w:val="99"/>
    <w:unhideWhenUsed/>
    <w:rsid w:val="00274282"/>
    <w:pPr>
      <w:tabs>
        <w:tab w:val="center" w:pos="4320"/>
        <w:tab w:val="right" w:pos="8640"/>
      </w:tabs>
    </w:pPr>
  </w:style>
  <w:style w:type="character" w:customStyle="1" w:styleId="HeaderChar">
    <w:name w:val="Header Char"/>
    <w:basedOn w:val="DefaultParagraphFont"/>
    <w:link w:val="Header"/>
    <w:uiPriority w:val="99"/>
    <w:rsid w:val="00274282"/>
    <w:rPr>
      <w:sz w:val="24"/>
      <w:szCs w:val="24"/>
    </w:rPr>
  </w:style>
  <w:style w:type="paragraph" w:styleId="Footer">
    <w:name w:val="footer"/>
    <w:basedOn w:val="Normal"/>
    <w:link w:val="FooterChar"/>
    <w:uiPriority w:val="99"/>
    <w:unhideWhenUsed/>
    <w:rsid w:val="00274282"/>
    <w:pPr>
      <w:tabs>
        <w:tab w:val="center" w:pos="4320"/>
        <w:tab w:val="right" w:pos="8640"/>
      </w:tabs>
    </w:pPr>
  </w:style>
  <w:style w:type="character" w:customStyle="1" w:styleId="FooterChar">
    <w:name w:val="Footer Char"/>
    <w:basedOn w:val="DefaultParagraphFont"/>
    <w:link w:val="Footer"/>
    <w:uiPriority w:val="99"/>
    <w:rsid w:val="00274282"/>
    <w:rPr>
      <w:sz w:val="24"/>
      <w:szCs w:val="24"/>
    </w:rPr>
  </w:style>
  <w:style w:type="paragraph" w:styleId="BalloonText">
    <w:name w:val="Balloon Text"/>
    <w:basedOn w:val="Normal"/>
    <w:link w:val="BalloonTextChar"/>
    <w:uiPriority w:val="99"/>
    <w:semiHidden/>
    <w:unhideWhenUsed/>
    <w:rsid w:val="00C123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3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1172</Words>
  <Characters>6683</Characters>
  <Application>Microsoft Macintosh Word</Application>
  <DocSecurity>0</DocSecurity>
  <Lines>55</Lines>
  <Paragraphs>15</Paragraphs>
  <ScaleCrop>false</ScaleCrop>
  <Company>Home</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townsend-handscomb</dc:creator>
  <cp:keywords/>
  <dc:description/>
  <cp:lastModifiedBy>darren townsend-handscomb</cp:lastModifiedBy>
  <cp:revision>3</cp:revision>
  <cp:lastPrinted>2013-12-10T22:48:00Z</cp:lastPrinted>
  <dcterms:created xsi:type="dcterms:W3CDTF">2013-12-10T22:48:00Z</dcterms:created>
  <dcterms:modified xsi:type="dcterms:W3CDTF">2013-12-10T22:48:00Z</dcterms:modified>
</cp:coreProperties>
</file>